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200" w:before="0"/>
        <w:jc w:val="center"/>
      </w:pPr>
      <w:r>
        <w:rPr>
          <w:sz w:val="72"/>
          <w:szCs w:val="72"/>
        </w:rPr>
        <w:t xml:space="preserve">🍁  </w:t>
      </w:r>
    </w:p>
    <w:p>
      <w:pPr>
        <w:spacing w:after="120" w:before="0"/>
        <w:jc w:val="center"/>
      </w:pPr>
      <w:r>
        <w:rPr>
          <w:rFonts w:ascii="Calibri" w:cs="Calibri" w:eastAsia="Calibri" w:hAnsi="Calibri"/>
          <w:b/>
          <w:bCs/>
          <w:color w:val="C41230"/>
          <w:sz w:val="52"/>
          <w:szCs w:val="52"/>
        </w:rPr>
        <w:t xml:space="preserve">Canadian Civic App</w:t>
      </w:r>
    </w:p>
    <w:p>
      <w:pPr>
        <w:spacing w:after="200" w:before="0"/>
        <w:jc w:val="center"/>
      </w:pPr>
      <w:r>
        <w:rPr>
          <w:rFonts w:ascii="Calibri" w:cs="Calibri" w:eastAsia="Calibri" w:hAnsi="Calibri"/>
          <w:b/>
          <w:bCs/>
          <w:color w:val="C41230"/>
          <w:sz w:val="52"/>
          <w:szCs w:val="52"/>
        </w:rPr>
        <w:t xml:space="preserve">Compliance Plan</w:t>
      </w:r>
    </w:p>
    <w:p>
      <w:pPr>
        <w:pBdr>
          <w:top w:val="single" w:color="C41230" w:sz="12"/>
          <w:bottom w:val="single" w:color="C41230" w:sz="12"/>
        </w:pBdr>
        <w:spacing w:after="80" w:before="0"/>
        <w:jc w:val="center"/>
      </w:pPr>
      <w:r>
        <w:rPr>
          <w:b/>
          <w:bCs/>
          <w:color w:val="1A1A2E"/>
          <w:sz w:val="28"/>
          <w:szCs w:val="28"/>
        </w:rPr>
        <w:t xml:space="preserve">Civic Voice — Federal Government Transparency Platform</w:t>
      </w:r>
    </w:p>
    <w:p>
      <w:pPr>
        <w:spacing w:after="0" w:before="300"/>
      </w:pPr>
      <w:r>
        <w:t xml:space="preserve"/>
      </w:r>
    </w:p>
    <w:p>
      <w:pPr>
        <w:spacing w:after="80" w:before="0"/>
        <w:jc w:val="center"/>
      </w:pPr>
      <w:r>
        <w:rPr>
          <w:color w:val="4A4A4A"/>
          <w:sz w:val="24"/>
          <w:szCs w:val="24"/>
        </w:rPr>
        <w:t xml:space="preserve">Version 1.0  |  July 2026</w:t>
      </w:r>
    </w:p>
    <w:p>
      <w:pPr>
        <w:spacing w:after="80" w:before="0"/>
        <w:jc w:val="center"/>
      </w:pPr>
      <w:r>
        <w:rPr>
          <w:caps/>
          <w:color w:val="AAAAAA"/>
          <w:sz w:val="20"/>
          <w:szCs w:val="20"/>
        </w:rPr>
        <w:t xml:space="preserve">CONFIDENTIAL — INTERNAL DRAFT</w:t>
      </w:r>
    </w:p>
    <w:p>
      <w:r>
        <w:br w:type="page"/>
      </w:r>
    </w:p>
    <w:p>
      <w:pPr>
        <w:pStyle w:val="Heading1"/>
        <w:spacing w:after="160" w:before="240"/>
      </w:pPr>
      <w:r>
        <w:rPr>
          <w:b/>
          <w:bCs/>
          <w:color w:val="C41230"/>
          <w:sz w:val="30"/>
          <w:szCs w:val="30"/>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pPr>
      <w:r>
        <w:rPr>
          <w:b/>
          <w:bCs/>
          <w:color w:val="C41230"/>
          <w:sz w:val="30"/>
          <w:szCs w:val="30"/>
        </w:rPr>
        <w:t xml:space="preserve">Executive Summary</w:t>
      </w:r>
    </w:p>
    <w:p>
      <w:pPr>
        <w:spacing w:after="80" w:before="80"/>
      </w:pPr>
      <w:r>
        <w:rPr>
          <w:color w:val="4A4A4A"/>
          <w:sz w:val="22"/>
          <w:szCs w:val="22"/>
        </w:rPr>
        <w:t xml:space="preserve">Civic Voice is a mobile-first civic transparency platform that aggregates, presents, and contextualises publicly available data about Canadian federal government institutions — including Parliament, Cabinet, federal contracts, departmental spending, and legislative activity. The application is built as a React single-page application (SPA) deployed via Vercel, with a Firebase Firestore backend used exclusively for anonymous citizen-opinion vote counts. No personal accounts, no email collection, and no monetisation of user data are in scope. This Compliance Plan identifies the key Canadian legal and regulatory obligations applicable to Civic Voice, assigns action items to each area, and provides a governance framework to ensure the platform remains compliant as it grows toward a public App Store release and broader audience.</w:t>
      </w:r>
    </w:p>
    <w:p>
      <w:pPr>
        <w:pBdr>
          <w:bottom w:val="single" w:color="DDDDDD" w:sz="6"/>
        </w:pBdr>
        <w:spacing w:after="160" w:before="160"/>
      </w:pPr>
      <w:r>
        <w:t xml:space="preserve"/>
      </w:r>
    </w:p>
    <w:p>
      <w:pPr>
        <w:pStyle w:val="Heading1"/>
      </w:pPr>
      <w:r>
        <w:rPr>
          <w:b/>
          <w:bCs/>
          <w:color w:val="C41230"/>
          <w:sz w:val="30"/>
          <w:szCs w:val="30"/>
        </w:rPr>
        <w:t xml:space="preserve">1. Product Regulatory Classification</w:t>
      </w:r>
    </w:p>
    <w:p>
      <w:pPr>
        <w:spacing w:after="80" w:before="80"/>
      </w:pPr>
      <w:r>
        <w:rPr>
          <w:color w:val="4A4A4A"/>
          <w:sz w:val="22"/>
          <w:szCs w:val="22"/>
        </w:rPr>
        <w:t xml:space="preserve">This section classifies Civic Voice under applicable Canadian legislation to establish what regulatory regimes apply and, equally importantly, which do not. A clear classification prevents over-compliance effort and identifies genuine obligations.</w:t>
      </w:r>
    </w:p>
    <w:p>
      <w:pPr>
        <w:pStyle w:val="Heading2"/>
      </w:pPr>
      <w:r>
        <w:rPr>
          <w:b/>
          <w:bCs/>
          <w:color w:val="1A1A2E"/>
          <w:sz w:val="24"/>
          <w:szCs w:val="24"/>
        </w:rPr>
        <w:t xml:space="preserve">1.1  Classification</w:t>
      </w:r>
    </w:p>
    <w:p>
      <w:pPr>
        <w:pStyle w:val="ListParagraph"/>
        <w:numPr>
          <w:ilvl w:val="0"/>
          <w:numId w:val="1"/>
        </w:numPr>
        <w:spacing w:after="40" w:before="40"/>
      </w:pPr>
      <w:r>
        <w:rPr>
          <w:color w:val="4A4A4A"/>
          <w:sz w:val="22"/>
          <w:szCs w:val="22"/>
        </w:rPr>
        <w:t xml:space="preserve">Not a financial product or service — no investment advice, no trading, no payment processing. Not regulated under securities legislation or the Bank Act.</w:t>
      </w:r>
    </w:p>
    <w:p>
      <w:pPr>
        <w:pStyle w:val="ListParagraph"/>
        <w:numPr>
          <w:ilvl w:val="0"/>
          <w:numId w:val="1"/>
        </w:numPr>
        <w:spacing w:after="40" w:before="40"/>
      </w:pPr>
      <w:r>
        <w:rPr>
          <w:color w:val="4A4A4A"/>
          <w:sz w:val="22"/>
          <w:szCs w:val="22"/>
        </w:rPr>
        <w:t xml:space="preserve">Not a data broker — Civic Voice does not collect, aggregate, or sell personal information about individuals. It displays publicly available government data.</w:t>
      </w:r>
    </w:p>
    <w:p>
      <w:pPr>
        <w:pStyle w:val="ListParagraph"/>
        <w:numPr>
          <w:ilvl w:val="0"/>
          <w:numId w:val="1"/>
        </w:numPr>
        <w:spacing w:after="40" w:before="40"/>
      </w:pPr>
      <w:r>
        <w:rPr>
          <w:color w:val="4A4A4A"/>
          <w:sz w:val="22"/>
          <w:szCs w:val="22"/>
        </w:rPr>
        <w:t xml:space="preserve">Public interest civic tool — analogous to a public library resource or journalistic database. Falls outside PIPEDA's commercial-purpose threshold for personal data brokering.</w:t>
      </w:r>
    </w:p>
    <w:p>
      <w:pPr>
        <w:pStyle w:val="Heading2"/>
      </w:pPr>
      <w:r>
        <w:rPr>
          <w:b/>
          <w:bCs/>
          <w:color w:val="1A1A2E"/>
          <w:sz w:val="24"/>
          <w:szCs w:val="24"/>
        </w:rPr>
        <w:t xml:space="preserve">1.2  Online News Act (Bill C-18)</w:t>
      </w:r>
    </w:p>
    <w:p>
      <w:pPr>
        <w:pStyle w:val="ListParagraph"/>
        <w:numPr>
          <w:ilvl w:val="0"/>
          <w:numId w:val="1"/>
        </w:numPr>
        <w:spacing w:after="40" w:before="40"/>
      </w:pPr>
      <w:r>
        <w:rPr>
          <w:color w:val="4A4A4A"/>
          <w:sz w:val="22"/>
          <w:szCs w:val="22"/>
        </w:rPr>
        <w:t xml:space="preserve">Civic Voice does not reproduce, aggregate, or re-publish news content from eligible news businesses. It displays government primary-source data only.</w:t>
      </w:r>
    </w:p>
    <w:p>
      <w:pPr>
        <w:pStyle w:val="ListParagraph"/>
        <w:numPr>
          <w:ilvl w:val="0"/>
          <w:numId w:val="1"/>
        </w:numPr>
        <w:spacing w:after="40" w:before="40"/>
      </w:pPr>
      <w:r>
        <w:rPr>
          <w:color w:val="4A4A4A"/>
          <w:sz w:val="22"/>
          <w:szCs w:val="22"/>
        </w:rPr>
        <w:t xml:space="preserve">Does not qualify as a "digital news intermediary" under Bill C-18 and is not subject to mandatory bargaining obligations.</w:t>
      </w:r>
    </w:p>
    <w:p>
      <w:pPr>
        <w:pStyle w:val="Heading2"/>
      </w:pPr>
      <w:r>
        <w:rPr>
          <w:b/>
          <w:bCs/>
          <w:color w:val="1A1A2E"/>
          <w:sz w:val="24"/>
          <w:szCs w:val="24"/>
        </w:rPr>
        <w:t xml:space="preserve">1.3  Accessible Canada Act / AODA</w:t>
      </w:r>
    </w:p>
    <w:p>
      <w:pPr>
        <w:pStyle w:val="ListParagraph"/>
        <w:numPr>
          <w:ilvl w:val="0"/>
          <w:numId w:val="1"/>
        </w:numPr>
        <w:spacing w:after="40" w:before="40"/>
      </w:pPr>
      <w:r>
        <w:rPr>
          <w:color w:val="4A4A4A"/>
          <w:sz w:val="22"/>
          <w:szCs w:val="22"/>
        </w:rPr>
        <w:t xml:space="preserve">The Accessible Canada Act (ACA) applies to federally regulated organisations. Civic Voice is a provincially incorporated entity — ACA obligations apply if it qualifies as a "regulated entity" under the ACA (e.g., if it provides a service in a federally regulated sector).</w:t>
      </w:r>
    </w:p>
    <w:p>
      <w:pPr>
        <w:pStyle w:val="ListParagraph"/>
        <w:numPr>
          <w:ilvl w:val="0"/>
          <w:numId w:val="1"/>
        </w:numPr>
        <w:spacing w:after="40" w:before="40"/>
      </w:pPr>
      <w:r>
        <w:rPr>
          <w:color w:val="4A4A4A"/>
          <w:sz w:val="22"/>
          <w:szCs w:val="22"/>
        </w:rPr>
        <w:t xml:space="preserve">If users are primarily in Ontario, the Accessibility for Ontarians with Disabilities Act (AODA) applies. The Information and Communications Standard under AODA requires WCAG 2.0 Level AA for public websites.</w:t>
      </w:r>
    </w:p>
    <w:p>
      <w:pPr>
        <w:pStyle w:val="Heading2"/>
      </w:pPr>
      <w:r>
        <w:rPr>
          <w:b/>
          <w:bCs/>
          <w:color w:val="1A1A2E"/>
          <w:sz w:val="24"/>
          <w:szCs w:val="24"/>
        </w:rPr>
        <w:t xml:space="preserve">1.4  Artificial Intelligence and Data Act (AIDA / Bill C-27 Part 3)</w:t>
      </w:r>
    </w:p>
    <w:p>
      <w:pPr>
        <w:pStyle w:val="ListParagraph"/>
        <w:numPr>
          <w:ilvl w:val="0"/>
          <w:numId w:val="1"/>
        </w:numPr>
        <w:spacing w:after="40" w:before="40"/>
      </w:pPr>
      <w:r>
        <w:rPr>
          <w:color w:val="4A4A4A"/>
          <w:sz w:val="22"/>
          <w:szCs w:val="22"/>
        </w:rPr>
        <w:t xml:space="preserve">Bill C-27 (including AIDA) has not received Royal Assent as of publication. Monitor progress.</w:t>
      </w:r>
    </w:p>
    <w:p>
      <w:pPr>
        <w:pStyle w:val="ListParagraph"/>
        <w:numPr>
          <w:ilvl w:val="0"/>
          <w:numId w:val="1"/>
        </w:numPr>
        <w:spacing w:after="40" w:before="40"/>
      </w:pPr>
      <w:r>
        <w:rPr>
          <w:color w:val="4A4A4A"/>
          <w:sz w:val="22"/>
          <w:szCs w:val="22"/>
        </w:rPr>
        <w:t xml:space="preserve">If AI-generated summaries or modelled statistics are added to Civic Voice, assess whether these constitute a "high-impact AI system" under AIDA's risk framework.</w:t>
      </w:r>
    </w:p>
    <w:p>
      <w:pPr>
        <w:pStyle w:val="ListParagraph"/>
        <w:numPr>
          <w:ilvl w:val="0"/>
          <w:numId w:val="1"/>
        </w:numPr>
        <w:spacing w:after="40" w:before="40"/>
      </w:pPr>
      <w:r>
        <w:rPr>
          <w:color w:val="4A4A4A"/>
          <w:sz w:val="22"/>
          <w:szCs w:val="22"/>
        </w:rPr>
        <w:t xml:space="preserve">Current editorial/modelled data (spending estimates, wealth estimates) should be clearly labelled as not AI-generated and not official, to avoid future scope creep into regulated AI outputs.</w:t>
      </w:r>
    </w:p>
    <w:p>
      <w:pPr>
        <w:shd w:fill="F2F4F7" w:val="clear"/>
        <w:spacing w:after="30" w:before="120"/>
      </w:pPr>
      <w:r>
        <w:rPr>
          <w:b/>
          <w:bCs/>
          <w:caps/>
          <w:color w:val="C41230"/>
          <w:sz w:val="20"/>
          <w:szCs w:val="20"/>
        </w:rPr>
        <w:t xml:space="preserve">ACTION ITEMS</w:t>
      </w:r>
    </w:p>
    <w:p>
      <w:pPr>
        <w:pStyle w:val="ListParagraph"/>
        <w:numPr>
          <w:ilvl w:val="0"/>
          <w:numId w:val="1"/>
        </w:numPr>
        <w:shd w:fill="F2F4F7" w:val="clear"/>
        <w:spacing w:after="30" w:before="30"/>
      </w:pPr>
      <w:r>
        <w:rPr>
          <w:color w:val="1A1A2E"/>
          <w:sz w:val="21"/>
          <w:szCs w:val="21"/>
        </w:rPr>
        <w:t xml:space="preserve">Obtain a brief legal opinion on whether ACA Part 1 applies to Civic Voice as currently structured.</w:t>
      </w:r>
    </w:p>
    <w:p>
      <w:pPr>
        <w:pStyle w:val="ListParagraph"/>
        <w:numPr>
          <w:ilvl w:val="0"/>
          <w:numId w:val="1"/>
        </w:numPr>
        <w:shd w:fill="F2F4F7" w:val="clear"/>
        <w:spacing w:after="30" w:before="30"/>
      </w:pPr>
      <w:r>
        <w:rPr>
          <w:color w:val="1A1A2E"/>
          <w:sz w:val="21"/>
          <w:szCs w:val="21"/>
        </w:rPr>
        <w:t xml:space="preserve">Document formally that no user data is sold, licensed, or monetised.</w:t>
      </w:r>
    </w:p>
    <w:p>
      <w:pPr>
        <w:pStyle w:val="ListParagraph"/>
        <w:numPr>
          <w:ilvl w:val="0"/>
          <w:numId w:val="1"/>
        </w:numPr>
        <w:shd w:fill="F2F4F7" w:val="clear"/>
        <w:spacing w:after="30" w:before="30"/>
      </w:pPr>
      <w:r>
        <w:rPr>
          <w:color w:val="1A1A2E"/>
          <w:sz w:val="21"/>
          <w:szCs w:val="21"/>
        </w:rPr>
        <w:t xml:space="preserve">Monitor Bill C-27 royal assent and assess AIDA applicability if AI features are added.</w:t>
      </w:r>
    </w:p>
    <w:p>
      <w:pPr>
        <w:spacing w:after="100" w:before="0"/>
      </w:pPr>
      <w:r>
        <w:t xml:space="preserve"/>
      </w:r>
    </w:p>
    <w:p>
      <w:pPr>
        <w:pBdr>
          <w:bottom w:val="single" w:color="DDDDDD" w:sz="6"/>
        </w:pBdr>
        <w:spacing w:after="160" w:before="160"/>
      </w:pPr>
      <w:r>
        <w:t xml:space="preserve"/>
      </w:r>
    </w:p>
    <w:p>
      <w:pPr>
        <w:pStyle w:val="Heading1"/>
      </w:pPr>
      <w:r>
        <w:rPr>
          <w:b/>
          <w:bCs/>
          <w:color w:val="C41230"/>
          <w:sz w:val="30"/>
          <w:szCs w:val="30"/>
        </w:rPr>
        <w:t xml:space="preserve">2. Privacy and Personal Information</w:t>
      </w:r>
    </w:p>
    <w:p>
      <w:pPr>
        <w:spacing w:after="80" w:before="80"/>
      </w:pPr>
      <w:r>
        <w:rPr>
          <w:color w:val="4A4A4A"/>
          <w:sz w:val="22"/>
          <w:szCs w:val="22"/>
        </w:rPr>
        <w:t xml:space="preserve">Civic Voice collects minimal personal information. This section documents what is collected, the applicable legal framework, and the consent and retention model.</w:t>
      </w:r>
    </w:p>
    <w:p>
      <w:pPr>
        <w:pStyle w:val="Heading2"/>
      </w:pPr>
      <w:r>
        <w:rPr>
          <w:b/>
          <w:bCs/>
          <w:color w:val="1A1A2E"/>
          <w:sz w:val="24"/>
          <w:szCs w:val="24"/>
        </w:rPr>
        <w:t xml:space="preserve">2.1  Applicable Law</w:t>
      </w:r>
    </w:p>
    <w:p>
      <w:pPr>
        <w:pStyle w:val="ListParagraph"/>
        <w:numPr>
          <w:ilvl w:val="0"/>
          <w:numId w:val="1"/>
        </w:numPr>
        <w:spacing w:after="40" w:before="40"/>
      </w:pPr>
      <w:r>
        <w:rPr>
          <w:color w:val="4A4A4A"/>
          <w:sz w:val="22"/>
          <w:szCs w:val="22"/>
        </w:rPr>
        <w:t xml:space="preserve">PIPEDA (Personal Information Protection and Electronic Documents Act) — currently in force. Applies to federally regulated private-sector organisations and to cross-border transfers of personal information.</w:t>
      </w:r>
    </w:p>
    <w:p>
      <w:pPr>
        <w:pStyle w:val="ListParagraph"/>
        <w:numPr>
          <w:ilvl w:val="0"/>
          <w:numId w:val="1"/>
        </w:numPr>
        <w:spacing w:after="40" w:before="40"/>
      </w:pPr>
      <w:r>
        <w:rPr>
          <w:color w:val="4A4A4A"/>
          <w:sz w:val="22"/>
          <w:szCs w:val="22"/>
        </w:rPr>
        <w:t xml:space="preserve">Bill C-27 / Consumer Privacy Protection Act (CPPA) — proposed successor to PIPEDA. Monitor for royal assent; prepare gap analysis once enacted.</w:t>
      </w:r>
    </w:p>
    <w:p>
      <w:pPr>
        <w:pStyle w:val="Heading2"/>
      </w:pPr>
      <w:r>
        <w:rPr>
          <w:b/>
          <w:bCs/>
          <w:color w:val="1A1A2E"/>
          <w:sz w:val="24"/>
          <w:szCs w:val="24"/>
        </w:rPr>
        <w:t xml:space="preserve">2.2  Data Collected</w:t>
      </w:r>
    </w:p>
    <w:p>
      <w:pPr>
        <w:pStyle w:val="ListParagraph"/>
        <w:numPr>
          <w:ilvl w:val="0"/>
          <w:numId w:val="1"/>
        </w:numPr>
        <w:spacing w:after="40" w:before="40"/>
      </w:pPr>
      <w:r>
        <w:rPr>
          <w:color w:val="4A4A4A"/>
          <w:sz w:val="22"/>
          <w:szCs w:val="22"/>
        </w:rPr>
        <w:t xml:space="preserve">Location (province/territory only): used to gate citizen-opinion votes. Derived from GPS coordinates at the time of permission grant; precise coordinates are NOT stored.</w:t>
      </w:r>
    </w:p>
    <w:p>
      <w:pPr>
        <w:pStyle w:val="ListParagraph"/>
        <w:numPr>
          <w:ilvl w:val="0"/>
          <w:numId w:val="1"/>
        </w:numPr>
        <w:spacing w:after="40" w:before="40"/>
      </w:pPr>
      <w:r>
        <w:rPr>
          <w:color w:val="4A4A4A"/>
          <w:sz w:val="22"/>
          <w:szCs w:val="22"/>
        </w:rPr>
        <w:t xml:space="preserve">Anonymous vote counts: stored in Firestore as { province, voteType, timestamp }. No device ID, no IP address, no user identifier.</w:t>
      </w:r>
    </w:p>
    <w:p>
      <w:pPr>
        <w:pStyle w:val="ListParagraph"/>
        <w:numPr>
          <w:ilvl w:val="0"/>
          <w:numId w:val="1"/>
        </w:numPr>
        <w:spacing w:after="40" w:before="40"/>
      </w:pPr>
      <w:r>
        <w:rPr>
          <w:color w:val="4A4A4A"/>
          <w:sz w:val="22"/>
          <w:szCs w:val="22"/>
        </w:rPr>
        <w:t xml:space="preserve">App preferences (localStorage): dark mode setting, followed sections, MP follows. Stored on-device only; never transmitted to a server.</w:t>
      </w:r>
    </w:p>
    <w:p>
      <w:pPr>
        <w:pStyle w:val="ListParagraph"/>
        <w:numPr>
          <w:ilvl w:val="0"/>
          <w:numId w:val="1"/>
        </w:numPr>
        <w:spacing w:after="40" w:before="40"/>
      </w:pPr>
      <w:r>
        <w:rPr>
          <w:color w:val="4A4A4A"/>
          <w:sz w:val="22"/>
          <w:szCs w:val="22"/>
        </w:rPr>
        <w:t xml:space="preserve">Not collected: name, email, SIN, health data, financial data, precise GPS, or any data that identifies a specific individual.</w:t>
      </w:r>
    </w:p>
    <w:p>
      <w:pPr>
        <w:pStyle w:val="Heading2"/>
      </w:pPr>
      <w:r>
        <w:rPr>
          <w:b/>
          <w:bCs/>
          <w:color w:val="1A1A2E"/>
          <w:sz w:val="24"/>
          <w:szCs w:val="24"/>
        </w:rPr>
        <w:t xml:space="preserve">2.3  Consent Model</w:t>
      </w:r>
    </w:p>
    <w:p>
      <w:pPr>
        <w:pStyle w:val="ListParagraph"/>
        <w:numPr>
          <w:ilvl w:val="0"/>
          <w:numId w:val="1"/>
        </w:numPr>
        <w:spacing w:after="40" w:before="40"/>
      </w:pPr>
      <w:r>
        <w:rPr>
          <w:color w:val="4A4A4A"/>
          <w:sz w:val="22"/>
          <w:szCs w:val="22"/>
        </w:rPr>
        <w:t xml:space="preserve">Location permission: iOS and Android runtime permission prompt. User may deny and still browse the app; only voting requires location confirmation.</w:t>
      </w:r>
    </w:p>
    <w:p>
      <w:pPr>
        <w:pStyle w:val="ListParagraph"/>
        <w:numPr>
          <w:ilvl w:val="0"/>
          <w:numId w:val="1"/>
        </w:numPr>
        <w:spacing w:after="40" w:before="40"/>
      </w:pPr>
      <w:r>
        <w:rPr>
          <w:color w:val="4A4A4A"/>
          <w:sz w:val="22"/>
          <w:szCs w:val="22"/>
        </w:rPr>
        <w:t xml:space="preserve">No account creation, no email opt-in, no cookie banners required (no cookies used beyond localStorage for preferences).</w:t>
      </w:r>
    </w:p>
    <w:p>
      <w:pPr>
        <w:pStyle w:val="Heading2"/>
      </w:pPr>
      <w:r>
        <w:rPr>
          <w:b/>
          <w:bCs/>
          <w:color w:val="1A1A2E"/>
          <w:sz w:val="24"/>
          <w:szCs w:val="24"/>
        </w:rPr>
        <w:t xml:space="preserve">2.4  Data Minimisation</w:t>
      </w:r>
    </w:p>
    <w:p>
      <w:pPr>
        <w:pStyle w:val="ListParagraph"/>
        <w:numPr>
          <w:ilvl w:val="0"/>
          <w:numId w:val="1"/>
        </w:numPr>
        <w:spacing w:after="40" w:before="40"/>
      </w:pPr>
      <w:r>
        <w:rPr>
          <w:color w:val="4A4A4A"/>
          <w:sz w:val="22"/>
          <w:szCs w:val="22"/>
        </w:rPr>
        <w:t xml:space="preserve">Only province/territory (not street address or precise coordinates) is stored in Firestore.</w:t>
      </w:r>
    </w:p>
    <w:p>
      <w:pPr>
        <w:pStyle w:val="ListParagraph"/>
        <w:numPr>
          <w:ilvl w:val="0"/>
          <w:numId w:val="1"/>
        </w:numPr>
        <w:spacing w:after="40" w:before="40"/>
      </w:pPr>
      <w:r>
        <w:rPr>
          <w:color w:val="4A4A4A"/>
          <w:sz w:val="22"/>
          <w:szCs w:val="22"/>
        </w:rPr>
        <w:t xml:space="preserve">Citizen votes are aggregated; individual votes are not queryable by public users.</w:t>
      </w:r>
    </w:p>
    <w:p>
      <w:pPr>
        <w:shd w:fill="F2F4F7" w:val="clear"/>
        <w:spacing w:after="30" w:before="120"/>
      </w:pPr>
      <w:r>
        <w:rPr>
          <w:b/>
          <w:bCs/>
          <w:caps/>
          <w:color w:val="C41230"/>
          <w:sz w:val="20"/>
          <w:szCs w:val="20"/>
        </w:rPr>
        <w:t xml:space="preserve">ACTION ITEMS</w:t>
      </w:r>
    </w:p>
    <w:p>
      <w:pPr>
        <w:pStyle w:val="ListParagraph"/>
        <w:numPr>
          <w:ilvl w:val="0"/>
          <w:numId w:val="1"/>
        </w:numPr>
        <w:shd w:fill="F2F4F7" w:val="clear"/>
        <w:spacing w:after="30" w:before="30"/>
      </w:pPr>
      <w:r>
        <w:rPr>
          <w:color w:val="1A1A2E"/>
          <w:sz w:val="21"/>
          <w:szCs w:val="21"/>
        </w:rPr>
        <w:t xml:space="preserve">Draft and publish a Privacy Policy covering: data collected, purpose, retention period, user rights (access, correction, deletion), and contact email.</w:t>
      </w:r>
    </w:p>
    <w:p>
      <w:pPr>
        <w:pStyle w:val="ListParagraph"/>
        <w:numPr>
          <w:ilvl w:val="0"/>
          <w:numId w:val="1"/>
        </w:numPr>
        <w:shd w:fill="F2F4F7" w:val="clear"/>
        <w:spacing w:after="30" w:before="30"/>
      </w:pPr>
      <w:r>
        <w:rPr>
          <w:color w:val="1A1A2E"/>
          <w:sz w:val="21"/>
          <w:szCs w:val="21"/>
        </w:rPr>
        <w:t xml:space="preserve">Add a privacy notice in the app's About/Settings screen linking to the Privacy Policy.</w:t>
      </w:r>
    </w:p>
    <w:p>
      <w:pPr>
        <w:pStyle w:val="ListParagraph"/>
        <w:numPr>
          <w:ilvl w:val="0"/>
          <w:numId w:val="1"/>
        </w:numPr>
        <w:shd w:fill="F2F4F7" w:val="clear"/>
        <w:spacing w:after="30" w:before="30"/>
      </w:pPr>
      <w:r>
        <w:rPr>
          <w:color w:val="1A1A2E"/>
          <w:sz w:val="21"/>
          <w:szCs w:val="21"/>
        </w:rPr>
        <w:t xml:space="preserve">Document a data flow diagram showing localStorage → browser only, and Firestore write schema.</w:t>
      </w:r>
    </w:p>
    <w:p>
      <w:pPr>
        <w:pStyle w:val="ListParagraph"/>
        <w:numPr>
          <w:ilvl w:val="0"/>
          <w:numId w:val="1"/>
        </w:numPr>
        <w:shd w:fill="F2F4F7" w:val="clear"/>
        <w:spacing w:after="30" w:before="30"/>
      </w:pPr>
      <w:r>
        <w:rPr>
          <w:color w:val="1A1A2E"/>
          <w:sz w:val="21"/>
          <w:szCs w:val="21"/>
        </w:rPr>
        <w:t xml:space="preserve">Conduct PIPEDA readiness review before App Store submission.</w:t>
      </w:r>
    </w:p>
    <w:p>
      <w:pPr>
        <w:spacing w:after="100" w:before="0"/>
      </w:pPr>
      <w:r>
        <w:t xml:space="preserve"/>
      </w:r>
    </w:p>
    <w:p>
      <w:pPr>
        <w:pBdr>
          <w:bottom w:val="single" w:color="DDDDDD" w:sz="6"/>
        </w:pBdr>
        <w:spacing w:after="160" w:before="160"/>
      </w:pPr>
      <w:r>
        <w:t xml:space="preserve"/>
      </w:r>
    </w:p>
    <w:p>
      <w:pPr>
        <w:pStyle w:val="Heading1"/>
      </w:pPr>
      <w:r>
        <w:rPr>
          <w:b/>
          <w:bCs/>
          <w:color w:val="C41230"/>
          <w:sz w:val="30"/>
          <w:szCs w:val="30"/>
        </w:rPr>
        <w:t xml:space="preserve">3. Open Government Data Licensing</w:t>
      </w:r>
    </w:p>
    <w:p>
      <w:pPr>
        <w:spacing w:after="80" w:before="80"/>
      </w:pPr>
      <w:r>
        <w:rPr>
          <w:color w:val="4A4A4A"/>
          <w:sz w:val="22"/>
          <w:szCs w:val="22"/>
        </w:rPr>
        <w:t xml:space="preserve">All government data displayed in Civic Voice must be used in compliance with the applicable open data licence. Failure to comply may constitute copyright infringement against the Crown.</w:t>
      </w:r>
    </w:p>
    <w:p>
      <w:pPr>
        <w:pStyle w:val="Heading2"/>
      </w:pPr>
      <w:r>
        <w:rPr>
          <w:b/>
          <w:bCs/>
          <w:color w:val="1A1A2E"/>
          <w:sz w:val="24"/>
          <w:szCs w:val="24"/>
        </w:rPr>
        <w:t xml:space="preserve">3.1  Open Government Licence – Canada (OGL-Canada 2.0)</w:t>
      </w:r>
    </w:p>
    <w:p>
      <w:pPr>
        <w:pStyle w:val="ListParagraph"/>
        <w:numPr>
          <w:ilvl w:val="0"/>
          <w:numId w:val="1"/>
        </w:numPr>
        <w:spacing w:after="40" w:before="40"/>
      </w:pPr>
      <w:r>
        <w:rPr>
          <w:color w:val="4A4A4A"/>
          <w:sz w:val="22"/>
          <w:szCs w:val="22"/>
        </w:rPr>
        <w:t xml:space="preserve">OGL-Canada 2.0 permits: copying, publishing, distributing, transmitting, adapting, and exploiting the information commercially or non-commercially.</w:t>
      </w:r>
    </w:p>
    <w:p>
      <w:pPr>
        <w:pStyle w:val="ListParagraph"/>
        <w:numPr>
          <w:ilvl w:val="0"/>
          <w:numId w:val="1"/>
        </w:numPr>
        <w:spacing w:after="40" w:before="40"/>
      </w:pPr>
      <w:r>
        <w:rPr>
          <w:color w:val="4A4A4A"/>
          <w:sz w:val="22"/>
          <w:szCs w:val="22"/>
        </w:rPr>
        <w:t xml:space="preserve">OGL-Canada 2.0 requires: attribution ("Source: Government of Canada") and acknowledgement that OGL-Canada 2.0 applies.</w:t>
      </w:r>
    </w:p>
    <w:p>
      <w:pPr>
        <w:pStyle w:val="ListParagraph"/>
        <w:numPr>
          <w:ilvl w:val="0"/>
          <w:numId w:val="1"/>
        </w:numPr>
        <w:spacing w:after="40" w:before="40"/>
      </w:pPr>
      <w:r>
        <w:rPr>
          <w:color w:val="4A4A4A"/>
          <w:sz w:val="22"/>
          <w:szCs w:val="22"/>
        </w:rPr>
        <w:t xml:space="preserve">OGL-Canada 2.0 prohibits: implying that the Government of Canada endorses Civic Voice or its use of the information.</w:t>
      </w:r>
    </w:p>
    <w:p>
      <w:pPr>
        <w:pStyle w:val="Heading2"/>
      </w:pPr>
      <w:r>
        <w:rPr>
          <w:b/>
          <w:bCs/>
          <w:color w:val="1A1A2E"/>
          <w:sz w:val="24"/>
          <w:szCs w:val="24"/>
        </w:rPr>
        <w:t xml:space="preserve">3.2  Key Data Sources and Applicable Licences</w:t>
      </w:r>
    </w:p>
    <w:p>
      <w:pPr>
        <w:pStyle w:val="ListParagraph"/>
        <w:numPr>
          <w:ilvl w:val="0"/>
          <w:numId w:val="1"/>
        </w:numPr>
        <w:spacing w:after="40" w:before="40"/>
      </w:pPr>
      <w:r>
        <w:rPr>
          <w:color w:val="4A4A4A"/>
          <w:sz w:val="22"/>
          <w:szCs w:val="22"/>
        </w:rPr>
        <w:t xml:space="preserve">Parliament of Canada (parl.ca): MP/Senator rosters, bills, votes — licensed under OGL-Canada 2.0.</w:t>
      </w:r>
    </w:p>
    <w:p>
      <w:pPr>
        <w:pStyle w:val="ListParagraph"/>
        <w:numPr>
          <w:ilvl w:val="0"/>
          <w:numId w:val="1"/>
        </w:numPr>
        <w:spacing w:after="40" w:before="40"/>
      </w:pPr>
      <w:r>
        <w:rPr>
          <w:color w:val="4A4A4A"/>
          <w:sz w:val="22"/>
          <w:szCs w:val="22"/>
        </w:rPr>
        <w:t xml:space="preserve">Elections Canada (elections.ca): Electoral results, candidate data — OGL-Canada 2.0.</w:t>
      </w:r>
    </w:p>
    <w:p>
      <w:pPr>
        <w:pStyle w:val="ListParagraph"/>
        <w:numPr>
          <w:ilvl w:val="0"/>
          <w:numId w:val="1"/>
        </w:numPr>
        <w:spacing w:after="40" w:before="40"/>
      </w:pPr>
      <w:r>
        <w:rPr>
          <w:color w:val="4A4A4A"/>
          <w:sz w:val="22"/>
          <w:szCs w:val="22"/>
        </w:rPr>
        <w:t xml:space="preserve">Public Accounts of Canada (tpsgc-pwgsc.gc.ca): Budget and spending data — OGL-Canada 2.0.</w:t>
      </w:r>
    </w:p>
    <w:p>
      <w:pPr>
        <w:pStyle w:val="ListParagraph"/>
        <w:numPr>
          <w:ilvl w:val="0"/>
          <w:numId w:val="1"/>
        </w:numPr>
        <w:spacing w:after="40" w:before="40"/>
      </w:pPr>
      <w:r>
        <w:rPr>
          <w:color w:val="4A4A4A"/>
          <w:sz w:val="22"/>
          <w:szCs w:val="22"/>
        </w:rPr>
        <w:t xml:space="preserve">Government of Canada Open Data Portal (open.canada.ca): Contracts, grants, proactive disclosure — OGL-Canada 2.0.</w:t>
      </w:r>
    </w:p>
    <w:p>
      <w:pPr>
        <w:pStyle w:val="ListParagraph"/>
        <w:numPr>
          <w:ilvl w:val="0"/>
          <w:numId w:val="1"/>
        </w:numPr>
        <w:spacing w:after="40" w:before="40"/>
      </w:pPr>
      <w:r>
        <w:rPr>
          <w:color w:val="4A4A4A"/>
          <w:sz w:val="22"/>
          <w:szCs w:val="22"/>
        </w:rPr>
        <w:t xml:space="preserve">Statistics Canada (statcan.gc.ca): Economic statistics — Statistics Canada Open Licence (compatible with OGL-Canada 2.0 for most datasets; verify per dataset).</w:t>
      </w:r>
    </w:p>
    <w:p>
      <w:pPr>
        <w:pStyle w:val="Heading2"/>
      </w:pPr>
      <w:r>
        <w:rPr>
          <w:b/>
          <w:bCs/>
          <w:color w:val="1A1A2E"/>
          <w:sz w:val="24"/>
          <w:szCs w:val="24"/>
        </w:rPr>
        <w:t xml:space="preserve">3.3  Editorial / Modelled Data</w:t>
      </w:r>
    </w:p>
    <w:p>
      <w:pPr>
        <w:pStyle w:val="ListParagraph"/>
        <w:numPr>
          <w:ilvl w:val="0"/>
          <w:numId w:val="1"/>
        </w:numPr>
        <w:spacing w:after="40" w:before="40"/>
      </w:pPr>
      <w:r>
        <w:rPr>
          <w:color w:val="4A4A4A"/>
          <w:sz w:val="22"/>
          <w:szCs w:val="22"/>
        </w:rPr>
        <w:t xml:space="preserve">Any data that is modelled, estimated, or editorially produced by Civic Voice (e.g., wealth estimates, spending projections) is NOT government data and must be clearly labelled as "Estimated" or "Civic Voice editorial — not official data."</w:t>
      </w:r>
    </w:p>
    <w:p>
      <w:pPr>
        <w:pStyle w:val="ListParagraph"/>
        <w:numPr>
          <w:ilvl w:val="0"/>
          <w:numId w:val="1"/>
        </w:numPr>
        <w:spacing w:after="40" w:before="40"/>
      </w:pPr>
      <w:r>
        <w:rPr>
          <w:color w:val="4A4A4A"/>
          <w:sz w:val="22"/>
          <w:szCs w:val="22"/>
        </w:rPr>
        <w:t xml:space="preserve">Disclaimer banners must appear on any section containing modelled statistics.</w:t>
      </w:r>
    </w:p>
    <w:p>
      <w:pPr>
        <w:shd w:fill="F2F4F7" w:val="clear"/>
        <w:spacing w:after="30" w:before="120"/>
      </w:pPr>
      <w:r>
        <w:rPr>
          <w:b/>
          <w:bCs/>
          <w:caps/>
          <w:color w:val="C41230"/>
          <w:sz w:val="20"/>
          <w:szCs w:val="20"/>
        </w:rPr>
        <w:t xml:space="preserve">ACTION ITEMS</w:t>
      </w:r>
    </w:p>
    <w:p>
      <w:pPr>
        <w:pStyle w:val="ListParagraph"/>
        <w:numPr>
          <w:ilvl w:val="0"/>
          <w:numId w:val="1"/>
        </w:numPr>
        <w:shd w:fill="F2F4F7" w:val="clear"/>
        <w:spacing w:after="30" w:before="30"/>
      </w:pPr>
      <w:r>
        <w:rPr>
          <w:color w:val="1A1A2E"/>
          <w:sz w:val="21"/>
          <w:szCs w:val="21"/>
        </w:rPr>
        <w:t xml:space="preserve">Audit each data source panel in the app against its specific licence; document in a Data Source Register.</w:t>
      </w:r>
    </w:p>
    <w:p>
      <w:pPr>
        <w:pStyle w:val="ListParagraph"/>
        <w:numPr>
          <w:ilvl w:val="0"/>
          <w:numId w:val="1"/>
        </w:numPr>
        <w:shd w:fill="F2F4F7" w:val="clear"/>
        <w:spacing w:after="30" w:before="30"/>
      </w:pPr>
      <w:r>
        <w:rPr>
          <w:color w:val="1A1A2E"/>
          <w:sz w:val="21"/>
          <w:szCs w:val="21"/>
        </w:rPr>
        <w:t xml:space="preserve">Add "Source: Government of Canada" attribution to all panels using official data.</w:t>
      </w:r>
    </w:p>
    <w:p>
      <w:pPr>
        <w:pStyle w:val="ListParagraph"/>
        <w:numPr>
          <w:ilvl w:val="0"/>
          <w:numId w:val="1"/>
        </w:numPr>
        <w:shd w:fill="F2F4F7" w:val="clear"/>
        <w:spacing w:after="30" w:before="30"/>
      </w:pPr>
      <w:r>
        <w:rPr>
          <w:color w:val="1A1A2E"/>
          <w:sz w:val="21"/>
          <w:szCs w:val="21"/>
        </w:rPr>
        <w:t xml:space="preserve">Apply "Editorial / Modelled Data" labels to all non-official statistics cards.</w:t>
      </w:r>
    </w:p>
    <w:p>
      <w:pPr>
        <w:pStyle w:val="ListParagraph"/>
        <w:numPr>
          <w:ilvl w:val="0"/>
          <w:numId w:val="1"/>
        </w:numPr>
        <w:shd w:fill="F2F4F7" w:val="clear"/>
        <w:spacing w:after="30" w:before="30"/>
      </w:pPr>
      <w:r>
        <w:rPr>
          <w:color w:val="1A1A2E"/>
          <w:sz w:val="21"/>
          <w:szCs w:val="21"/>
        </w:rPr>
        <w:t xml:space="preserve">Add OGL-Canada 2.0 acknowledgement to the Terms of Use page.</w:t>
      </w:r>
    </w:p>
    <w:p>
      <w:pPr>
        <w:spacing w:after="100" w:before="0"/>
      </w:pPr>
      <w:r>
        <w:t xml:space="preserve"/>
      </w:r>
    </w:p>
    <w:p>
      <w:pPr>
        <w:pBdr>
          <w:bottom w:val="single" w:color="DDDDDD" w:sz="6"/>
        </w:pBdr>
        <w:spacing w:after="160" w:before="160"/>
      </w:pPr>
      <w:r>
        <w:t xml:space="preserve"/>
      </w:r>
    </w:p>
    <w:p>
      <w:pPr>
        <w:pStyle w:val="Heading1"/>
      </w:pPr>
      <w:r>
        <w:rPr>
          <w:b/>
          <w:bCs/>
          <w:color w:val="C41230"/>
          <w:sz w:val="30"/>
          <w:szCs w:val="30"/>
        </w:rPr>
        <w:t xml:space="preserve">4. Data Accuracy and Source Control</w:t>
      </w:r>
    </w:p>
    <w:p>
      <w:pPr>
        <w:spacing w:after="80" w:before="80"/>
      </w:pPr>
      <w:r>
        <w:rPr>
          <w:color w:val="4A4A4A"/>
          <w:sz w:val="22"/>
          <w:szCs w:val="22"/>
        </w:rPr>
        <w:t xml:space="preserve">As a platform presenting information about elected officials and public policy, Civic Voice has a civic and reputational obligation to maintain accurate, up-to-date, and clearly sourced data.</w:t>
      </w:r>
    </w:p>
    <w:p>
      <w:pPr>
        <w:pStyle w:val="Heading2"/>
      </w:pPr>
      <w:r>
        <w:rPr>
          <w:b/>
          <w:bCs/>
          <w:color w:val="1A1A2E"/>
          <w:sz w:val="24"/>
          <w:szCs w:val="24"/>
        </w:rPr>
        <w:t xml:space="preserve">4.1  Data Sourcing Standards</w:t>
      </w:r>
    </w:p>
    <w:p>
      <w:pPr>
        <w:pStyle w:val="ListParagraph"/>
        <w:numPr>
          <w:ilvl w:val="0"/>
          <w:numId w:val="1"/>
        </w:numPr>
        <w:spacing w:after="40" w:before="40"/>
      </w:pPr>
      <w:r>
        <w:rPr>
          <w:color w:val="4A4A4A"/>
          <w:sz w:val="22"/>
          <w:szCs w:val="22"/>
        </w:rPr>
        <w:t xml:space="preserve">MP and Senator profiles: sourced from the official Parliament of Canada member roster (parl.ca). Updated after each by-election, appointment, or resignation.</w:t>
      </w:r>
    </w:p>
    <w:p>
      <w:pPr>
        <w:pStyle w:val="ListParagraph"/>
        <w:numPr>
          <w:ilvl w:val="0"/>
          <w:numId w:val="1"/>
        </w:numPr>
        <w:spacing w:after="40" w:before="40"/>
      </w:pPr>
      <w:r>
        <w:rPr>
          <w:color w:val="4A4A4A"/>
          <w:sz w:val="22"/>
          <w:szCs w:val="22"/>
        </w:rPr>
        <w:t xml:space="preserve">Budget and spending figures: sourced from Public Accounts of Canada and Treasury Board Secretariat Estimates documents.</w:t>
      </w:r>
    </w:p>
    <w:p>
      <w:pPr>
        <w:pStyle w:val="ListParagraph"/>
        <w:numPr>
          <w:ilvl w:val="0"/>
          <w:numId w:val="1"/>
        </w:numPr>
        <w:spacing w:after="40" w:before="40"/>
      </w:pPr>
      <w:r>
        <w:rPr>
          <w:color w:val="4A4A4A"/>
          <w:sz w:val="22"/>
          <w:szCs w:val="22"/>
        </w:rPr>
        <w:t xml:space="preserve">Government contracts: sourced from the Proactive Disclosure database on CanadaBuys (canadabuys.canada.ca).</w:t>
      </w:r>
    </w:p>
    <w:p>
      <w:pPr>
        <w:pStyle w:val="ListParagraph"/>
        <w:numPr>
          <w:ilvl w:val="0"/>
          <w:numId w:val="1"/>
        </w:numPr>
        <w:spacing w:after="40" w:before="40"/>
      </w:pPr>
      <w:r>
        <w:rPr>
          <w:color w:val="4A4A4A"/>
          <w:sz w:val="22"/>
          <w:szCs w:val="22"/>
        </w:rPr>
        <w:t xml:space="preserve">Election polling data: sourced from reputable Canadian pollsters (Nanos, Leger, Abacus Data); labelled with source and date.</w:t>
      </w:r>
    </w:p>
    <w:p>
      <w:pPr>
        <w:pStyle w:val="Heading2"/>
      </w:pPr>
      <w:r>
        <w:rPr>
          <w:b/>
          <w:bCs/>
          <w:color w:val="1A1A2E"/>
          <w:sz w:val="24"/>
          <w:szCs w:val="24"/>
        </w:rPr>
        <w:t xml:space="preserve">4.2  Version Control and Changelog</w:t>
      </w:r>
    </w:p>
    <w:p>
      <w:pPr>
        <w:pStyle w:val="ListParagraph"/>
        <w:numPr>
          <w:ilvl w:val="0"/>
          <w:numId w:val="1"/>
        </w:numPr>
        <w:spacing w:after="40" w:before="40"/>
      </w:pPr>
      <w:r>
        <w:rPr>
          <w:color w:val="4A4A4A"/>
          <w:sz w:val="22"/>
          <w:szCs w:val="22"/>
        </w:rPr>
        <w:t xml:space="preserve">All data files are maintained in version control (GitHub). Every data update is committed with a descriptive message and tagged.</w:t>
      </w:r>
    </w:p>
    <w:p>
      <w:pPr>
        <w:pStyle w:val="ListParagraph"/>
        <w:numPr>
          <w:ilvl w:val="0"/>
          <w:numId w:val="1"/>
        </w:numPr>
        <w:spacing w:after="40" w:before="40"/>
      </w:pPr>
      <w:r>
        <w:rPr>
          <w:color w:val="4A4A4A"/>
          <w:sz w:val="22"/>
          <w:szCs w:val="22"/>
        </w:rPr>
        <w:t xml:space="preserve">A public-facing changelog (GitHub Releases) summarises each data update for users and researchers.</w:t>
      </w:r>
    </w:p>
    <w:p>
      <w:pPr>
        <w:pStyle w:val="Heading2"/>
      </w:pPr>
      <w:r>
        <w:rPr>
          <w:b/>
          <w:bCs/>
          <w:color w:val="1A1A2E"/>
          <w:sz w:val="24"/>
          <w:szCs w:val="24"/>
        </w:rPr>
        <w:t xml:space="preserve">4.3  Defamation Risk</w:t>
      </w:r>
    </w:p>
    <w:p>
      <w:pPr>
        <w:pStyle w:val="ListParagraph"/>
        <w:numPr>
          <w:ilvl w:val="0"/>
          <w:numId w:val="1"/>
        </w:numPr>
        <w:spacing w:after="40" w:before="40"/>
      </w:pPr>
      <w:r>
        <w:rPr>
          <w:color w:val="4A4A4A"/>
          <w:sz w:val="22"/>
          <w:szCs w:val="22"/>
        </w:rPr>
        <w:t xml:space="preserve">All information about named public officials must be sourced from official records or reputable published sources.</w:t>
      </w:r>
    </w:p>
    <w:p>
      <w:pPr>
        <w:pStyle w:val="ListParagraph"/>
        <w:numPr>
          <w:ilvl w:val="0"/>
          <w:numId w:val="1"/>
        </w:numPr>
        <w:spacing w:after="40" w:before="40"/>
      </w:pPr>
      <w:r>
        <w:rPr>
          <w:color w:val="4A4A4A"/>
          <w:sz w:val="22"/>
          <w:szCs w:val="22"/>
        </w:rPr>
        <w:t xml:space="preserve">Opinion-based content (e.g., "controversies" sections) must clearly attribute sources.</w:t>
      </w:r>
    </w:p>
    <w:p>
      <w:pPr>
        <w:pStyle w:val="ListParagraph"/>
        <w:numPr>
          <w:ilvl w:val="0"/>
          <w:numId w:val="1"/>
        </w:numPr>
        <w:spacing w:after="40" w:before="40"/>
      </w:pPr>
      <w:r>
        <w:rPr>
          <w:color w:val="4A4A4A"/>
          <w:sz w:val="22"/>
          <w:szCs w:val="22"/>
        </w:rPr>
        <w:t xml:space="preserve">No speculative or unverified claims about named individuals.</w:t>
      </w:r>
    </w:p>
    <w:p>
      <w:pPr>
        <w:shd w:fill="F2F4F7" w:val="clear"/>
        <w:spacing w:after="30" w:before="120"/>
      </w:pPr>
      <w:r>
        <w:rPr>
          <w:b/>
          <w:bCs/>
          <w:caps/>
          <w:color w:val="C41230"/>
          <w:sz w:val="20"/>
          <w:szCs w:val="20"/>
        </w:rPr>
        <w:t xml:space="preserve">ACTION ITEMS</w:t>
      </w:r>
    </w:p>
    <w:p>
      <w:pPr>
        <w:pStyle w:val="ListParagraph"/>
        <w:numPr>
          <w:ilvl w:val="0"/>
          <w:numId w:val="1"/>
        </w:numPr>
        <w:shd w:fill="F2F4F7" w:val="clear"/>
        <w:spacing w:after="30" w:before="30"/>
      </w:pPr>
      <w:r>
        <w:rPr>
          <w:color w:val="1A1A2E"/>
          <w:sz w:val="21"/>
          <w:szCs w:val="21"/>
        </w:rPr>
        <w:t xml:space="preserve">Implement visible data source tags on each section card (e.g., "Source: parl.ca — last updated June 2026").</w:t>
      </w:r>
    </w:p>
    <w:p>
      <w:pPr>
        <w:pStyle w:val="ListParagraph"/>
        <w:numPr>
          <w:ilvl w:val="0"/>
          <w:numId w:val="1"/>
        </w:numPr>
        <w:shd w:fill="F2F4F7" w:val="clear"/>
        <w:spacing w:after="30" w:before="30"/>
      </w:pPr>
      <w:r>
        <w:rPr>
          <w:color w:val="1A1A2E"/>
          <w:sz w:val="21"/>
          <w:szCs w:val="21"/>
        </w:rPr>
        <w:t xml:space="preserve">Maintain a quarterly data review schedule; assign a Data Steward role.</w:t>
      </w:r>
    </w:p>
    <w:p>
      <w:pPr>
        <w:pStyle w:val="ListParagraph"/>
        <w:numPr>
          <w:ilvl w:val="0"/>
          <w:numId w:val="1"/>
        </w:numPr>
        <w:shd w:fill="F2F4F7" w:val="clear"/>
        <w:spacing w:after="30" w:before="30"/>
      </w:pPr>
      <w:r>
        <w:rPr>
          <w:color w:val="1A1A2E"/>
          <w:sz w:val="21"/>
          <w:szCs w:val="21"/>
        </w:rPr>
        <w:t xml:space="preserve">Add a "Report an Error" feedback link on each data panel.</w:t>
      </w:r>
    </w:p>
    <w:p>
      <w:pPr>
        <w:pStyle w:val="ListParagraph"/>
        <w:numPr>
          <w:ilvl w:val="0"/>
          <w:numId w:val="1"/>
        </w:numPr>
        <w:shd w:fill="F2F4F7" w:val="clear"/>
        <w:spacing w:after="30" w:before="30"/>
      </w:pPr>
      <w:r>
        <w:rPr>
          <w:color w:val="1A1A2E"/>
          <w:sz w:val="21"/>
          <w:szCs w:val="21"/>
        </w:rPr>
        <w:t xml:space="preserve">Review "controversies" data to ensure every item is sourced from a published news record.</w:t>
      </w:r>
    </w:p>
    <w:p>
      <w:pPr>
        <w:spacing w:after="100" w:before="0"/>
      </w:pPr>
      <w:r>
        <w:t xml:space="preserve"/>
      </w:r>
    </w:p>
    <w:p>
      <w:pPr>
        <w:pBdr>
          <w:bottom w:val="single" w:color="DDDDDD" w:sz="6"/>
        </w:pBdr>
        <w:spacing w:after="160" w:before="160"/>
      </w:pPr>
      <w:r>
        <w:t xml:space="preserve"/>
      </w:r>
    </w:p>
    <w:p>
      <w:pPr>
        <w:pStyle w:val="Heading1"/>
      </w:pPr>
      <w:r>
        <w:rPr>
          <w:b/>
          <w:bCs/>
          <w:color w:val="C41230"/>
          <w:sz w:val="30"/>
          <w:szCs w:val="30"/>
        </w:rPr>
        <w:t xml:space="preserve">5. User Communications / CASL</w:t>
      </w:r>
    </w:p>
    <w:p>
      <w:pPr>
        <w:spacing w:after="80" w:before="80"/>
      </w:pPr>
      <w:r>
        <w:rPr>
          <w:color w:val="4A4A4A"/>
          <w:sz w:val="22"/>
          <w:szCs w:val="22"/>
        </w:rPr>
        <w:t xml:space="preserve">Canada's Anti-Spam Legislation (CASL, S.C. 2010, c. 23) regulates commercial electronic messages (CEMs) sent to Canadian electronic addresses. This section assesses current CASL risk and establishes obligations if messaging features are added.</w:t>
      </w:r>
    </w:p>
    <w:p>
      <w:pPr>
        <w:pStyle w:val="Heading2"/>
      </w:pPr>
      <w:r>
        <w:rPr>
          <w:b/>
          <w:bCs/>
          <w:color w:val="1A1A2E"/>
          <w:sz w:val="24"/>
          <w:szCs w:val="24"/>
        </w:rPr>
        <w:t xml:space="preserve">5.1  Current State — Low Risk</w:t>
      </w:r>
    </w:p>
    <w:p>
      <w:pPr>
        <w:pStyle w:val="ListParagraph"/>
        <w:numPr>
          <w:ilvl w:val="0"/>
          <w:numId w:val="1"/>
        </w:numPr>
        <w:spacing w:after="40" w:before="40"/>
      </w:pPr>
      <w:r>
        <w:rPr>
          <w:color w:val="4A4A4A"/>
          <w:sz w:val="22"/>
          <w:szCs w:val="22"/>
        </w:rPr>
        <w:t xml:space="preserve">Civic Voice currently sends no email, SMS, or push notifications.</w:t>
      </w:r>
    </w:p>
    <w:p>
      <w:pPr>
        <w:pStyle w:val="ListParagraph"/>
        <w:numPr>
          <w:ilvl w:val="0"/>
          <w:numId w:val="1"/>
        </w:numPr>
        <w:spacing w:after="40" w:before="40"/>
      </w:pPr>
      <w:r>
        <w:rPr>
          <w:color w:val="4A4A4A"/>
          <w:sz w:val="22"/>
          <w:szCs w:val="22"/>
        </w:rPr>
        <w:t xml:space="preserve">In-app "Follow" notifications are displayed within the app interface only; they are not transmitted to any external address and are therefore NOT CEMs under CASL.</w:t>
      </w:r>
    </w:p>
    <w:p>
      <w:pPr>
        <w:pStyle w:val="ListParagraph"/>
        <w:numPr>
          <w:ilvl w:val="0"/>
          <w:numId w:val="1"/>
        </w:numPr>
        <w:spacing w:after="40" w:before="40"/>
      </w:pPr>
      <w:r>
        <w:rPr>
          <w:color w:val="4A4A4A"/>
          <w:sz w:val="22"/>
          <w:szCs w:val="22"/>
        </w:rPr>
        <w:t xml:space="preserve">No commercial messages are sent; the app is free and contains no advertising.</w:t>
      </w:r>
    </w:p>
    <w:p>
      <w:pPr>
        <w:pStyle w:val="Heading2"/>
      </w:pPr>
      <w:r>
        <w:rPr>
          <w:b/>
          <w:bCs/>
          <w:color w:val="1A1A2E"/>
          <w:sz w:val="24"/>
          <w:szCs w:val="24"/>
        </w:rPr>
        <w:t xml:space="preserve">5.2  Future Notification Features — Obligations if Added</w:t>
      </w:r>
    </w:p>
    <w:p>
      <w:pPr>
        <w:pStyle w:val="ListParagraph"/>
        <w:numPr>
          <w:ilvl w:val="0"/>
          <w:numId w:val="1"/>
        </w:numPr>
        <w:spacing w:after="40" w:before="40"/>
      </w:pPr>
      <w:r>
        <w:rPr>
          <w:color w:val="4A4A4A"/>
          <w:sz w:val="22"/>
          <w:szCs w:val="22"/>
        </w:rPr>
        <w:t xml:space="preserve">Push notifications (if added): if they contain a commercial element (e.g., App Store upsell), express consent must be obtained before the first push.</w:t>
      </w:r>
    </w:p>
    <w:p>
      <w:pPr>
        <w:pStyle w:val="ListParagraph"/>
        <w:numPr>
          <w:ilvl w:val="0"/>
          <w:numId w:val="1"/>
        </w:numPr>
        <w:spacing w:after="40" w:before="40"/>
      </w:pPr>
      <w:r>
        <w:rPr>
          <w:color w:val="4A4A4A"/>
          <w:sz w:val="22"/>
          <w:szCs w:val="22"/>
        </w:rPr>
        <w:t xml:space="preserve">Email newsletters (if added): require express consent, sender identification, and an unsubscribe mechanism that functions within 10 business days.</w:t>
      </w:r>
    </w:p>
    <w:p>
      <w:pPr>
        <w:pStyle w:val="ListParagraph"/>
        <w:numPr>
          <w:ilvl w:val="0"/>
          <w:numId w:val="1"/>
        </w:numPr>
        <w:spacing w:after="40" w:before="40"/>
      </w:pPr>
      <w:r>
        <w:rPr>
          <w:color w:val="4A4A4A"/>
          <w:sz w:val="22"/>
          <w:szCs w:val="22"/>
        </w:rPr>
        <w:t xml:space="preserve">Consent records must be retained for 3 years after the consent period ends.</w:t>
      </w:r>
    </w:p>
    <w:p>
      <w:pPr>
        <w:pStyle w:val="ListParagraph"/>
        <w:numPr>
          <w:ilvl w:val="0"/>
          <w:numId w:val="1"/>
        </w:numPr>
        <w:spacing w:after="40" w:before="40"/>
      </w:pPr>
      <w:r>
        <w:rPr>
          <w:color w:val="4A4A4A"/>
          <w:sz w:val="22"/>
          <w:szCs w:val="22"/>
        </w:rPr>
        <w:t xml:space="preserve">Purely transactional notifications (e.g., "Your followed MP voted on a bill") with no commercial element may qualify as exempt from CASL as non-commercial messages.</w:t>
      </w:r>
    </w:p>
    <w:p>
      <w:pPr>
        <w:shd w:fill="F2F4F7" w:val="clear"/>
        <w:spacing w:after="30" w:before="120"/>
      </w:pPr>
      <w:r>
        <w:rPr>
          <w:b/>
          <w:bCs/>
          <w:caps/>
          <w:color w:val="C41230"/>
          <w:sz w:val="20"/>
          <w:szCs w:val="20"/>
        </w:rPr>
        <w:t xml:space="preserve">ACTION ITEMS</w:t>
      </w:r>
    </w:p>
    <w:p>
      <w:pPr>
        <w:pStyle w:val="ListParagraph"/>
        <w:numPr>
          <w:ilvl w:val="0"/>
          <w:numId w:val="1"/>
        </w:numPr>
        <w:shd w:fill="F2F4F7" w:val="clear"/>
        <w:spacing w:after="30" w:before="30"/>
      </w:pPr>
      <w:r>
        <w:rPr>
          <w:color w:val="1A1A2E"/>
          <w:sz w:val="21"/>
          <w:szCs w:val="21"/>
        </w:rPr>
        <w:t xml:space="preserve">Document current notification architecture (in-app only, no CEMs) as a formal record.</w:t>
      </w:r>
    </w:p>
    <w:p>
      <w:pPr>
        <w:pStyle w:val="ListParagraph"/>
        <w:numPr>
          <w:ilvl w:val="0"/>
          <w:numId w:val="1"/>
        </w:numPr>
        <w:shd w:fill="F2F4F7" w:val="clear"/>
        <w:spacing w:after="30" w:before="30"/>
      </w:pPr>
      <w:r>
        <w:rPr>
          <w:color w:val="1A1A2E"/>
          <w:sz w:val="21"/>
          <w:szCs w:val="21"/>
        </w:rPr>
        <w:t xml:space="preserve">Before adding any email or push notification feature, obtain a CASL compliance review.</w:t>
      </w:r>
    </w:p>
    <w:p>
      <w:pPr>
        <w:pStyle w:val="ListParagraph"/>
        <w:numPr>
          <w:ilvl w:val="0"/>
          <w:numId w:val="1"/>
        </w:numPr>
        <w:shd w:fill="F2F4F7" w:val="clear"/>
        <w:spacing w:after="30" w:before="30"/>
      </w:pPr>
      <w:r>
        <w:rPr>
          <w:color w:val="1A1A2E"/>
          <w:sz w:val="21"/>
          <w:szCs w:val="21"/>
        </w:rPr>
        <w:t xml:space="preserve">If email is added: implement a compliant consent flow, unsubscribe mechanism, and 3-year consent log.</w:t>
      </w:r>
    </w:p>
    <w:p>
      <w:pPr>
        <w:spacing w:after="100" w:before="0"/>
      </w:pPr>
      <w:r>
        <w:t xml:space="preserve"/>
      </w:r>
    </w:p>
    <w:p>
      <w:pPr>
        <w:pBdr>
          <w:bottom w:val="single" w:color="DDDDDD" w:sz="6"/>
        </w:pBdr>
        <w:spacing w:after="160" w:before="160"/>
      </w:pPr>
      <w:r>
        <w:t xml:space="preserve"/>
      </w:r>
    </w:p>
    <w:p>
      <w:pPr>
        <w:pStyle w:val="Heading1"/>
      </w:pPr>
      <w:r>
        <w:rPr>
          <w:b/>
          <w:bCs/>
          <w:color w:val="C41230"/>
          <w:sz w:val="30"/>
          <w:szCs w:val="30"/>
        </w:rPr>
        <w:t xml:space="preserve">6. Accessibility</w:t>
      </w:r>
    </w:p>
    <w:p>
      <w:pPr>
        <w:spacing w:after="80" w:before="80"/>
      </w:pPr>
      <w:r>
        <w:rPr>
          <w:color w:val="4A4A4A"/>
          <w:sz w:val="22"/>
          <w:szCs w:val="22"/>
        </w:rPr>
        <w:t xml:space="preserve">Civic Voice is a public-interest application and should be accessible to all Canadians, including those with disabilities. This section identifies the applicable standards and current known gaps.</w:t>
      </w:r>
    </w:p>
    <w:p>
      <w:pPr>
        <w:pStyle w:val="Heading2"/>
      </w:pPr>
      <w:r>
        <w:rPr>
          <w:b/>
          <w:bCs/>
          <w:color w:val="1A1A2E"/>
          <w:sz w:val="24"/>
          <w:szCs w:val="24"/>
        </w:rPr>
        <w:t xml:space="preserve">6.1  Applicable Standards</w:t>
      </w:r>
    </w:p>
    <w:p>
      <w:pPr>
        <w:pStyle w:val="ListParagraph"/>
        <w:numPr>
          <w:ilvl w:val="0"/>
          <w:numId w:val="1"/>
        </w:numPr>
        <w:spacing w:after="40" w:before="40"/>
      </w:pPr>
      <w:r>
        <w:rPr>
          <w:color w:val="4A4A4A"/>
          <w:sz w:val="22"/>
          <w:szCs w:val="22"/>
        </w:rPr>
        <w:t xml:space="preserve">WCAG 2.1 Level AA — the internationally recognised standard adopted by the Government of Canada for digital services and by AODA for Ontario-based web content.</w:t>
      </w:r>
    </w:p>
    <w:p>
      <w:pPr>
        <w:pStyle w:val="ListParagraph"/>
        <w:numPr>
          <w:ilvl w:val="0"/>
          <w:numId w:val="1"/>
        </w:numPr>
        <w:spacing w:after="40" w:before="40"/>
      </w:pPr>
      <w:r>
        <w:rPr>
          <w:color w:val="4A4A4A"/>
          <w:sz w:val="22"/>
          <w:szCs w:val="22"/>
        </w:rPr>
        <w:t xml:space="preserve">Accessible Canada Act (ACA) — if scope applies (see Section 1.3), the ACA's Accessibility Standards for Information and Communications will require WCAG 2.1 AA by regulation.</w:t>
      </w:r>
    </w:p>
    <w:p>
      <w:pPr>
        <w:pStyle w:val="Heading2"/>
      </w:pPr>
      <w:r>
        <w:rPr>
          <w:b/>
          <w:bCs/>
          <w:color w:val="1A1A2E"/>
          <w:sz w:val="24"/>
          <w:szCs w:val="24"/>
        </w:rPr>
        <w:t xml:space="preserve">6.2  Mobile Accessibility Requirements</w:t>
      </w:r>
    </w:p>
    <w:p>
      <w:pPr>
        <w:pStyle w:val="ListParagraph"/>
        <w:numPr>
          <w:ilvl w:val="0"/>
          <w:numId w:val="1"/>
        </w:numPr>
        <w:spacing w:after="40" w:before="40"/>
      </w:pPr>
      <w:r>
        <w:rPr>
          <w:color w:val="4A4A4A"/>
          <w:sz w:val="22"/>
          <w:szCs w:val="22"/>
        </w:rPr>
        <w:t xml:space="preserve">Touch target size: minimum 44×44 points (Apple HIG / WCAG 2.5.5).</w:t>
      </w:r>
    </w:p>
    <w:p>
      <w:pPr>
        <w:pStyle w:val="ListParagraph"/>
        <w:numPr>
          <w:ilvl w:val="0"/>
          <w:numId w:val="1"/>
        </w:numPr>
        <w:spacing w:after="40" w:before="40"/>
      </w:pPr>
      <w:r>
        <w:rPr>
          <w:color w:val="4A4A4A"/>
          <w:sz w:val="22"/>
          <w:szCs w:val="22"/>
        </w:rPr>
        <w:t xml:space="preserve">Colour contrast: minimum 4.5:1 for normal text, 3:1 for large text (WCAG 1.4.3). The Canada Red (#C41230) on white passes AA for large text but must be verified for body text.</w:t>
      </w:r>
    </w:p>
    <w:p>
      <w:pPr>
        <w:pStyle w:val="ListParagraph"/>
        <w:numPr>
          <w:ilvl w:val="0"/>
          <w:numId w:val="1"/>
        </w:numPr>
        <w:spacing w:after="40" w:before="40"/>
      </w:pPr>
      <w:r>
        <w:rPr>
          <w:color w:val="4A4A4A"/>
          <w:sz w:val="22"/>
          <w:szCs w:val="22"/>
        </w:rPr>
        <w:t xml:space="preserve">Text resizing: app must remain usable at 200% text scale (iOS Dynamic Type / Android font scale).</w:t>
      </w:r>
    </w:p>
    <w:p>
      <w:pPr>
        <w:pStyle w:val="ListParagraph"/>
        <w:numPr>
          <w:ilvl w:val="0"/>
          <w:numId w:val="1"/>
        </w:numPr>
        <w:spacing w:after="40" w:before="40"/>
      </w:pPr>
      <w:r>
        <w:rPr>
          <w:color w:val="4A4A4A"/>
          <w:sz w:val="22"/>
          <w:szCs w:val="22"/>
        </w:rPr>
        <w:t xml:space="preserve">No reliance on colour alone to convey information (WCAG 1.4.1) — e.g., vote buttons must not rely solely on red/green to distinguish oppose/support.</w:t>
      </w:r>
    </w:p>
    <w:p>
      <w:pPr>
        <w:pStyle w:val="Heading2"/>
      </w:pPr>
      <w:r>
        <w:rPr>
          <w:b/>
          <w:bCs/>
          <w:color w:val="1A1A2E"/>
          <w:sz w:val="24"/>
          <w:szCs w:val="24"/>
        </w:rPr>
        <w:t xml:space="preserve">6.3  Screen Reader Support</w:t>
      </w:r>
    </w:p>
    <w:p>
      <w:pPr>
        <w:pStyle w:val="ListParagraph"/>
        <w:numPr>
          <w:ilvl w:val="0"/>
          <w:numId w:val="1"/>
        </w:numPr>
        <w:spacing w:after="40" w:before="40"/>
      </w:pPr>
      <w:r>
        <w:rPr>
          <w:color w:val="4A4A4A"/>
          <w:sz w:val="22"/>
          <w:szCs w:val="22"/>
        </w:rPr>
        <w:t xml:space="preserve">All icon-only buttons must have aria-label attributes (search, dark mode toggle, bell — already implemented).</w:t>
      </w:r>
    </w:p>
    <w:p>
      <w:pPr>
        <w:pStyle w:val="ListParagraph"/>
        <w:numPr>
          <w:ilvl w:val="0"/>
          <w:numId w:val="1"/>
        </w:numPr>
        <w:spacing w:after="40" w:before="40"/>
      </w:pPr>
      <w:r>
        <w:rPr>
          <w:color w:val="4A4A4A"/>
          <w:sz w:val="22"/>
          <w:szCs w:val="22"/>
        </w:rPr>
        <w:t xml:space="preserve">Vote buttons must have descriptive accessible names (e.g., aria-label="Support Mark Carney — currently 3 supporters").</w:t>
      </w:r>
    </w:p>
    <w:p>
      <w:pPr>
        <w:pStyle w:val="ListParagraph"/>
        <w:numPr>
          <w:ilvl w:val="0"/>
          <w:numId w:val="1"/>
        </w:numPr>
        <w:spacing w:after="40" w:before="40"/>
      </w:pPr>
      <w:r>
        <w:rPr>
          <w:color w:val="4A4A4A"/>
          <w:sz w:val="22"/>
          <w:szCs w:val="22"/>
        </w:rPr>
        <w:t xml:space="preserve">Card headings use semantic heading levels (h1–h3) to enable navigation by screen reader.</w:t>
      </w:r>
    </w:p>
    <w:p>
      <w:pPr>
        <w:shd w:fill="F2F4F7" w:val="clear"/>
        <w:spacing w:after="30" w:before="120"/>
      </w:pPr>
      <w:r>
        <w:rPr>
          <w:b/>
          <w:bCs/>
          <w:caps/>
          <w:color w:val="C41230"/>
          <w:sz w:val="20"/>
          <w:szCs w:val="20"/>
        </w:rPr>
        <w:t xml:space="preserve">ACTION ITEMS</w:t>
      </w:r>
    </w:p>
    <w:p>
      <w:pPr>
        <w:pStyle w:val="ListParagraph"/>
        <w:numPr>
          <w:ilvl w:val="0"/>
          <w:numId w:val="1"/>
        </w:numPr>
        <w:shd w:fill="F2F4F7" w:val="clear"/>
        <w:spacing w:after="30" w:before="30"/>
      </w:pPr>
      <w:r>
        <w:rPr>
          <w:color w:val="1A1A2E"/>
          <w:sz w:val="21"/>
          <w:szCs w:val="21"/>
        </w:rPr>
        <w:t xml:space="preserve">Run an automated accessibility audit using axe-core or Lighthouse Accessibility; target score ≥ 90.</w:t>
      </w:r>
    </w:p>
    <w:p>
      <w:pPr>
        <w:pStyle w:val="ListParagraph"/>
        <w:numPr>
          <w:ilvl w:val="0"/>
          <w:numId w:val="1"/>
        </w:numPr>
        <w:shd w:fill="F2F4F7" w:val="clear"/>
        <w:spacing w:after="30" w:before="30"/>
      </w:pPr>
      <w:r>
        <w:rPr>
          <w:color w:val="1A1A2E"/>
          <w:sz w:val="21"/>
          <w:szCs w:val="21"/>
        </w:rPr>
        <w:t xml:space="preserve">Remediate all colour contrast failures identified in the audit.</w:t>
      </w:r>
    </w:p>
    <w:p>
      <w:pPr>
        <w:pStyle w:val="ListParagraph"/>
        <w:numPr>
          <w:ilvl w:val="0"/>
          <w:numId w:val="1"/>
        </w:numPr>
        <w:shd w:fill="F2F4F7" w:val="clear"/>
        <w:spacing w:after="30" w:before="30"/>
      </w:pPr>
      <w:r>
        <w:rPr>
          <w:color w:val="1A1A2E"/>
          <w:sz w:val="21"/>
          <w:szCs w:val="21"/>
        </w:rPr>
        <w:t xml:space="preserve">Test with VoiceOver (iOS) and TalkBack (Android) on physical devices.</w:t>
      </w:r>
    </w:p>
    <w:p>
      <w:pPr>
        <w:pStyle w:val="ListParagraph"/>
        <w:numPr>
          <w:ilvl w:val="0"/>
          <w:numId w:val="1"/>
        </w:numPr>
        <w:shd w:fill="F2F4F7" w:val="clear"/>
        <w:spacing w:after="30" w:before="30"/>
      </w:pPr>
      <w:r>
        <w:rPr>
          <w:color w:val="1A1A2E"/>
          <w:sz w:val="21"/>
          <w:szCs w:val="21"/>
        </w:rPr>
        <w:t xml:space="preserve">Add descriptive aria-labels to all vote buttons with live count.</w:t>
      </w:r>
    </w:p>
    <w:p>
      <w:pPr>
        <w:pStyle w:val="ListParagraph"/>
        <w:numPr>
          <w:ilvl w:val="0"/>
          <w:numId w:val="1"/>
        </w:numPr>
        <w:shd w:fill="F2F4F7" w:val="clear"/>
        <w:spacing w:after="30" w:before="30"/>
      </w:pPr>
      <w:r>
        <w:rPr>
          <w:color w:val="1A1A2E"/>
          <w:sz w:val="21"/>
          <w:szCs w:val="21"/>
        </w:rPr>
        <w:t xml:space="preserve">Publish an Accessibility Statement at civicvoice.ca/accessibility.</w:t>
      </w:r>
    </w:p>
    <w:p>
      <w:pPr>
        <w:spacing w:after="100" w:before="0"/>
      </w:pPr>
      <w:r>
        <w:t xml:space="preserve"/>
      </w:r>
    </w:p>
    <w:p>
      <w:pPr>
        <w:pBdr>
          <w:bottom w:val="single" w:color="DDDDDD" w:sz="6"/>
        </w:pBdr>
        <w:spacing w:after="160" w:before="160"/>
      </w:pPr>
      <w:r>
        <w:t xml:space="preserve"/>
      </w:r>
    </w:p>
    <w:p>
      <w:pPr>
        <w:pStyle w:val="Heading1"/>
      </w:pPr>
      <w:r>
        <w:rPr>
          <w:b/>
          <w:bCs/>
          <w:color w:val="C41230"/>
          <w:sz w:val="30"/>
          <w:szCs w:val="30"/>
        </w:rPr>
        <w:t xml:space="preserve">7. Security and Firebase / Firestore Controls</w:t>
      </w:r>
    </w:p>
    <w:p>
      <w:pPr>
        <w:spacing w:after="80" w:before="80"/>
      </w:pPr>
      <w:r>
        <w:rPr>
          <w:color w:val="4A4A4A"/>
          <w:sz w:val="22"/>
          <w:szCs w:val="22"/>
        </w:rPr>
        <w:t xml:space="preserve">Civic Voice uses Firebase Firestore for anonymous vote storage and Vercel for serverless API functions. This section addresses the key security controls required to prevent abuse and protect the integrity of citizen-opinion data.</w:t>
      </w:r>
    </w:p>
    <w:p>
      <w:pPr>
        <w:pStyle w:val="Heading2"/>
      </w:pPr>
      <w:r>
        <w:rPr>
          <w:b/>
          <w:bCs/>
          <w:color w:val="1A1A2E"/>
          <w:sz w:val="24"/>
          <w:szCs w:val="24"/>
        </w:rPr>
        <w:t xml:space="preserve">7.1  Firestore Security Rules</w:t>
      </w:r>
    </w:p>
    <w:p>
      <w:pPr>
        <w:pStyle w:val="ListParagraph"/>
        <w:numPr>
          <w:ilvl w:val="0"/>
          <w:numId w:val="1"/>
        </w:numPr>
        <w:spacing w:after="40" w:before="40"/>
      </w:pPr>
      <w:r>
        <w:rPr>
          <w:color w:val="4A4A4A"/>
          <w:sz w:val="22"/>
          <w:szCs w:val="22"/>
        </w:rPr>
        <w:t xml:space="preserve">vote_counts collection: allow read (public, for displaying counts); restrict write to authenticated sessions or rate-limited Cloud Functions only.</w:t>
      </w:r>
    </w:p>
    <w:p>
      <w:pPr>
        <w:pStyle w:val="ListParagraph"/>
        <w:numPr>
          <w:ilvl w:val="0"/>
          <w:numId w:val="1"/>
        </w:numPr>
        <w:spacing w:after="40" w:before="40"/>
      </w:pPr>
      <w:r>
        <w:rPr>
          <w:color w:val="4A4A4A"/>
          <w:sz w:val="22"/>
          <w:szCs w:val="22"/>
        </w:rPr>
        <w:t xml:space="preserve">citizen_votes collection: allow write (anonymous, for recording a vote); deny read to all clients (server-side aggregation only).</w:t>
      </w:r>
    </w:p>
    <w:p>
      <w:pPr>
        <w:pStyle w:val="ListParagraph"/>
        <w:numPr>
          <w:ilvl w:val="0"/>
          <w:numId w:val="1"/>
        </w:numPr>
        <w:spacing w:after="40" w:before="40"/>
      </w:pPr>
      <w:r>
        <w:rPr>
          <w:color w:val="4A4A4A"/>
          <w:sz w:val="22"/>
          <w:szCs w:val="22"/>
        </w:rPr>
        <w:t xml:space="preserve">No collection should allow unauthenticated bulk reads or writes without rate limiting.</w:t>
      </w:r>
    </w:p>
    <w:p>
      <w:pPr>
        <w:pStyle w:val="Heading2"/>
      </w:pPr>
      <w:r>
        <w:rPr>
          <w:b/>
          <w:bCs/>
          <w:color w:val="1A1A2E"/>
          <w:sz w:val="24"/>
          <w:szCs w:val="24"/>
        </w:rPr>
        <w:t xml:space="preserve">7.2  Rate Limiting and Vote Integrity</w:t>
      </w:r>
    </w:p>
    <w:p>
      <w:pPr>
        <w:pStyle w:val="ListParagraph"/>
        <w:numPr>
          <w:ilvl w:val="0"/>
          <w:numId w:val="1"/>
        </w:numPr>
        <w:spacing w:after="40" w:before="40"/>
      </w:pPr>
      <w:r>
        <w:rPr>
          <w:color w:val="4A4A4A"/>
          <w:sz w:val="22"/>
          <w:szCs w:val="22"/>
        </w:rPr>
        <w:t xml:space="preserve">Implement per-session (localStorage token) vote deduplication on the client — already partially implemented via caMemberVotes / ukMpVotes state.</w:t>
      </w:r>
    </w:p>
    <w:p>
      <w:pPr>
        <w:pStyle w:val="ListParagraph"/>
        <w:numPr>
          <w:ilvl w:val="0"/>
          <w:numId w:val="1"/>
        </w:numPr>
        <w:spacing w:after="40" w:before="40"/>
      </w:pPr>
      <w:r>
        <w:rPr>
          <w:color w:val="4A4A4A"/>
          <w:sz w:val="22"/>
          <w:szCs w:val="22"/>
        </w:rPr>
        <w:t xml:space="preserve">Add a Firestore Cloud Function trigger or App Check to prevent automated bulk vote submissions.</w:t>
      </w:r>
    </w:p>
    <w:p>
      <w:pPr>
        <w:pStyle w:val="ListParagraph"/>
        <w:numPr>
          <w:ilvl w:val="0"/>
          <w:numId w:val="1"/>
        </w:numPr>
        <w:spacing w:after="40" w:before="40"/>
      </w:pPr>
      <w:r>
        <w:rPr>
          <w:color w:val="4A4A4A"/>
          <w:sz w:val="22"/>
          <w:szCs w:val="22"/>
        </w:rPr>
        <w:t xml:space="preserve">Consider Firebase App Check (Device Check on iOS, Play Integrity on Android) for production release.</w:t>
      </w:r>
    </w:p>
    <w:p>
      <w:pPr>
        <w:pStyle w:val="Heading2"/>
      </w:pPr>
      <w:r>
        <w:rPr>
          <w:b/>
          <w:bCs/>
          <w:color w:val="1A1A2E"/>
          <w:sz w:val="24"/>
          <w:szCs w:val="24"/>
        </w:rPr>
        <w:t xml:space="preserve">7.3  PII in Firestore</w:t>
      </w:r>
    </w:p>
    <w:p>
      <w:pPr>
        <w:pStyle w:val="ListParagraph"/>
        <w:numPr>
          <w:ilvl w:val="0"/>
          <w:numId w:val="1"/>
        </w:numPr>
        <w:spacing w:after="40" w:before="40"/>
      </w:pPr>
      <w:r>
        <w:rPr>
          <w:color w:val="4A4A4A"/>
          <w:sz w:val="22"/>
          <w:szCs w:val="22"/>
        </w:rPr>
        <w:t xml:space="preserve">citizen_votes document schema: { province: string, voteType: string, timestamp: Timestamp } — no device ID, no IP, no email.</w:t>
      </w:r>
    </w:p>
    <w:p>
      <w:pPr>
        <w:pStyle w:val="ListParagraph"/>
        <w:numPr>
          <w:ilvl w:val="0"/>
          <w:numId w:val="1"/>
        </w:numPr>
        <w:spacing w:after="40" w:before="40"/>
      </w:pPr>
      <w:r>
        <w:rPr>
          <w:color w:val="4A4A4A"/>
          <w:sz w:val="22"/>
          <w:szCs w:val="22"/>
        </w:rPr>
        <w:t xml:space="preserve">Verify schema in Firestore Console; confirm no client code writes additional fields.</w:t>
      </w:r>
    </w:p>
    <w:p>
      <w:pPr>
        <w:pStyle w:val="Heading2"/>
      </w:pPr>
      <w:r>
        <w:rPr>
          <w:b/>
          <w:bCs/>
          <w:color w:val="1A1A2E"/>
          <w:sz w:val="24"/>
          <w:szCs w:val="24"/>
        </w:rPr>
        <w:t xml:space="preserve">7.4  API and Deployment Security</w:t>
      </w:r>
    </w:p>
    <w:p>
      <w:pPr>
        <w:pStyle w:val="ListParagraph"/>
        <w:numPr>
          <w:ilvl w:val="0"/>
          <w:numId w:val="1"/>
        </w:numPr>
        <w:spacing w:after="40" w:before="40"/>
      </w:pPr>
      <w:r>
        <w:rPr>
          <w:color w:val="4A4A4A"/>
          <w:sz w:val="22"/>
          <w:szCs w:val="22"/>
        </w:rPr>
        <w:t xml:space="preserve">Firebase API keys are client-side (normal for Firebase). Restrict allowed referrer domains in Firebase Console to civic-voice-app.vercel.app and civicvoice.ca.</w:t>
      </w:r>
    </w:p>
    <w:p>
      <w:pPr>
        <w:pStyle w:val="ListParagraph"/>
        <w:numPr>
          <w:ilvl w:val="0"/>
          <w:numId w:val="1"/>
        </w:numPr>
        <w:spacing w:after="40" w:before="40"/>
      </w:pPr>
      <w:r>
        <w:rPr>
          <w:color w:val="4A4A4A"/>
          <w:sz w:val="22"/>
          <w:szCs w:val="22"/>
        </w:rPr>
        <w:t xml:space="preserve">/api/share serverless function: all query parameters are HTML-escaped before output; no arbitrary redirect functionality.</w:t>
      </w:r>
    </w:p>
    <w:p>
      <w:pPr>
        <w:pStyle w:val="ListParagraph"/>
        <w:numPr>
          <w:ilvl w:val="0"/>
          <w:numId w:val="1"/>
        </w:numPr>
        <w:spacing w:after="40" w:before="40"/>
      </w:pPr>
      <w:r>
        <w:rPr>
          <w:color w:val="4A4A4A"/>
          <w:sz w:val="22"/>
          <w:szCs w:val="22"/>
        </w:rPr>
        <w:t xml:space="preserve">Vercel deployment: enable Vercel's DDoS protection; set appropriate Cache-Control headers (already set to 300s on /api/share).</w:t>
      </w:r>
    </w:p>
    <w:p>
      <w:pPr>
        <w:shd w:fill="F2F4F7" w:val="clear"/>
        <w:spacing w:after="30" w:before="120"/>
      </w:pPr>
      <w:r>
        <w:rPr>
          <w:b/>
          <w:bCs/>
          <w:caps/>
          <w:color w:val="C41230"/>
          <w:sz w:val="20"/>
          <w:szCs w:val="20"/>
        </w:rPr>
        <w:t xml:space="preserve">ACTION ITEMS</w:t>
      </w:r>
    </w:p>
    <w:p>
      <w:pPr>
        <w:pStyle w:val="ListParagraph"/>
        <w:numPr>
          <w:ilvl w:val="0"/>
          <w:numId w:val="1"/>
        </w:numPr>
        <w:shd w:fill="F2F4F7" w:val="clear"/>
        <w:spacing w:after="30" w:before="30"/>
      </w:pPr>
      <w:r>
        <w:rPr>
          <w:color w:val="1A1A2E"/>
          <w:sz w:val="21"/>
          <w:szCs w:val="21"/>
        </w:rPr>
        <w:t xml:space="preserve">Review and update Firestore security rules; test with Firebase Rules Playground.</w:t>
      </w:r>
    </w:p>
    <w:p>
      <w:pPr>
        <w:pStyle w:val="ListParagraph"/>
        <w:numPr>
          <w:ilvl w:val="0"/>
          <w:numId w:val="1"/>
        </w:numPr>
        <w:shd w:fill="F2F4F7" w:val="clear"/>
        <w:spacing w:after="30" w:before="30"/>
      </w:pPr>
      <w:r>
        <w:rPr>
          <w:color w:val="1A1A2E"/>
          <w:sz w:val="21"/>
          <w:szCs w:val="21"/>
        </w:rPr>
        <w:t xml:space="preserve">Implement Firebase App Check for production app release.</w:t>
      </w:r>
    </w:p>
    <w:p>
      <w:pPr>
        <w:pStyle w:val="ListParagraph"/>
        <w:numPr>
          <w:ilvl w:val="0"/>
          <w:numId w:val="1"/>
        </w:numPr>
        <w:shd w:fill="F2F4F7" w:val="clear"/>
        <w:spacing w:after="30" w:before="30"/>
      </w:pPr>
      <w:r>
        <w:rPr>
          <w:color w:val="1A1A2E"/>
          <w:sz w:val="21"/>
          <w:szCs w:val="21"/>
        </w:rPr>
        <w:t xml:space="preserve">Restrict Firebase API key referrer domains to production domain only.</w:t>
      </w:r>
    </w:p>
    <w:p>
      <w:pPr>
        <w:pStyle w:val="ListParagraph"/>
        <w:numPr>
          <w:ilvl w:val="0"/>
          <w:numId w:val="1"/>
        </w:numPr>
        <w:shd w:fill="F2F4F7" w:val="clear"/>
        <w:spacing w:after="30" w:before="30"/>
      </w:pPr>
      <w:r>
        <w:rPr>
          <w:color w:val="1A1A2E"/>
          <w:sz w:val="21"/>
          <w:szCs w:val="21"/>
        </w:rPr>
        <w:t xml:space="preserve">Conduct a quarterly security review; log findings and remediations.</w:t>
      </w:r>
    </w:p>
    <w:p>
      <w:pPr>
        <w:spacing w:after="100" w:before="0"/>
      </w:pPr>
      <w:r>
        <w:t xml:space="preserve"/>
      </w:r>
    </w:p>
    <w:p>
      <w:pPr>
        <w:pBdr>
          <w:bottom w:val="single" w:color="DDDDDD" w:sz="6"/>
        </w:pBdr>
        <w:spacing w:after="160" w:before="160"/>
      </w:pPr>
      <w:r>
        <w:t xml:space="preserve"/>
      </w:r>
    </w:p>
    <w:p>
      <w:pPr>
        <w:pStyle w:val="Heading1"/>
      </w:pPr>
      <w:r>
        <w:rPr>
          <w:b/>
          <w:bCs/>
          <w:color w:val="C41230"/>
          <w:sz w:val="30"/>
          <w:szCs w:val="30"/>
        </w:rPr>
        <w:t xml:space="preserve">8. App Store Readiness</w:t>
      </w:r>
    </w:p>
    <w:p>
      <w:pPr>
        <w:spacing w:after="80" w:before="80"/>
      </w:pPr>
      <w:r>
        <w:rPr>
          <w:color w:val="4A4A4A"/>
          <w:sz w:val="22"/>
          <w:szCs w:val="22"/>
        </w:rPr>
        <w:t xml:space="preserve">To distribute Civic Voice through the Apple App Store and Google Play Store, specific metadata, privacy declarations, and content compliance requirements must be satisfied prior to submission.</w:t>
      </w:r>
    </w:p>
    <w:p>
      <w:pPr>
        <w:pStyle w:val="Heading2"/>
      </w:pPr>
      <w:r>
        <w:rPr>
          <w:b/>
          <w:bCs/>
          <w:color w:val="1A1A2E"/>
          <w:sz w:val="24"/>
          <w:szCs w:val="24"/>
        </w:rPr>
        <w:t xml:space="preserve">8.1  Apple App Store</w:t>
      </w:r>
    </w:p>
    <w:p>
      <w:pPr>
        <w:pStyle w:val="ListParagraph"/>
        <w:numPr>
          <w:ilvl w:val="0"/>
          <w:numId w:val="1"/>
        </w:numPr>
        <w:spacing w:after="40" w:before="40"/>
      </w:pPr>
      <w:r>
        <w:rPr>
          <w:color w:val="4A4A4A"/>
          <w:sz w:val="22"/>
          <w:szCs w:val="22"/>
        </w:rPr>
        <w:t xml:space="preserve">Privacy Nutrition Label: declare data types collected. For Civic Voice: Location (coarse — used for vote gating, not linked to identity). No other data types collected.</w:t>
      </w:r>
    </w:p>
    <w:p>
      <w:pPr>
        <w:pStyle w:val="ListParagraph"/>
        <w:numPr>
          <w:ilvl w:val="0"/>
          <w:numId w:val="1"/>
        </w:numPr>
        <w:spacing w:after="40" w:before="40"/>
      </w:pPr>
      <w:r>
        <w:rPr>
          <w:color w:val="4A4A4A"/>
          <w:sz w:val="22"/>
          <w:szCs w:val="22"/>
        </w:rPr>
        <w:t xml:space="preserve">No tracking: Civic Voice does not use advertising identifiers or cross-app tracking → select "No" for App Tracking Transparency.</w:t>
      </w:r>
    </w:p>
    <w:p>
      <w:pPr>
        <w:pStyle w:val="ListParagraph"/>
        <w:numPr>
          <w:ilvl w:val="0"/>
          <w:numId w:val="1"/>
        </w:numPr>
        <w:spacing w:after="40" w:before="40"/>
      </w:pPr>
      <w:r>
        <w:rPr>
          <w:color w:val="4A4A4A"/>
          <w:sz w:val="22"/>
          <w:szCs w:val="22"/>
        </w:rPr>
        <w:t xml:space="preserve">Age rating: 4+ (no objectionable content, no user-generated content visible to others, no social features beyond anonymous voting).</w:t>
      </w:r>
    </w:p>
    <w:p>
      <w:pPr>
        <w:pStyle w:val="ListParagraph"/>
        <w:numPr>
          <w:ilvl w:val="0"/>
          <w:numId w:val="1"/>
        </w:numPr>
        <w:spacing w:after="40" w:before="40"/>
      </w:pPr>
      <w:r>
        <w:rPr>
          <w:color w:val="4A4A4A"/>
          <w:sz w:val="22"/>
          <w:szCs w:val="22"/>
        </w:rPr>
        <w:t xml:space="preserve">Category: News (primary) or Reference.</w:t>
      </w:r>
    </w:p>
    <w:p>
      <w:pPr>
        <w:pStyle w:val="ListParagraph"/>
        <w:numPr>
          <w:ilvl w:val="0"/>
          <w:numId w:val="1"/>
        </w:numPr>
        <w:spacing w:after="40" w:before="40"/>
      </w:pPr>
      <w:r>
        <w:rPr>
          <w:color w:val="4A4A4A"/>
          <w:sz w:val="22"/>
          <w:szCs w:val="22"/>
        </w:rPr>
        <w:t xml:space="preserve">Required URLs: Privacy Policy, Support URL (GitHub Issues or contact email).</w:t>
      </w:r>
    </w:p>
    <w:p>
      <w:pPr>
        <w:pStyle w:val="Heading2"/>
      </w:pPr>
      <w:r>
        <w:rPr>
          <w:b/>
          <w:bCs/>
          <w:color w:val="1A1A2E"/>
          <w:sz w:val="24"/>
          <w:szCs w:val="24"/>
        </w:rPr>
        <w:t xml:space="preserve">8.2  Google Play Store</w:t>
      </w:r>
    </w:p>
    <w:p>
      <w:pPr>
        <w:pStyle w:val="ListParagraph"/>
        <w:numPr>
          <w:ilvl w:val="0"/>
          <w:numId w:val="1"/>
        </w:numPr>
        <w:spacing w:after="40" w:before="40"/>
      </w:pPr>
      <w:r>
        <w:rPr>
          <w:color w:val="4A4A4A"/>
          <w:sz w:val="22"/>
          <w:szCs w:val="22"/>
        </w:rPr>
        <w:t xml:space="preserve">Data Safety Form: Location (approximate, not shared with third parties, not used for advertising). No other data shared.</w:t>
      </w:r>
    </w:p>
    <w:p>
      <w:pPr>
        <w:pStyle w:val="ListParagraph"/>
        <w:numPr>
          <w:ilvl w:val="0"/>
          <w:numId w:val="1"/>
        </w:numPr>
        <w:spacing w:after="40" w:before="40"/>
      </w:pPr>
      <w:r>
        <w:rPr>
          <w:color w:val="4A4A4A"/>
          <w:sz w:val="22"/>
          <w:szCs w:val="22"/>
        </w:rPr>
        <w:t xml:space="preserve">Content rating: Everyone (via IARC questionnaire). Category: News &amp; Magazines or Education.</w:t>
      </w:r>
    </w:p>
    <w:p>
      <w:pPr>
        <w:pStyle w:val="ListParagraph"/>
        <w:numPr>
          <w:ilvl w:val="0"/>
          <w:numId w:val="1"/>
        </w:numPr>
        <w:spacing w:after="40" w:before="40"/>
      </w:pPr>
      <w:r>
        <w:rPr>
          <w:color w:val="4A4A4A"/>
          <w:sz w:val="22"/>
          <w:szCs w:val="22"/>
        </w:rPr>
        <w:t xml:space="preserve">Target API level: must meet current Google Play minimum (API level 35 for new apps in 2025/2026).</w:t>
      </w:r>
    </w:p>
    <w:p>
      <w:pPr>
        <w:pStyle w:val="Heading2"/>
      </w:pPr>
      <w:r>
        <w:rPr>
          <w:b/>
          <w:bCs/>
          <w:color w:val="1A1A2E"/>
          <w:sz w:val="24"/>
          <w:szCs w:val="24"/>
        </w:rPr>
        <w:t xml:space="preserve">8.3  Required Assets</w:t>
      </w:r>
    </w:p>
    <w:p>
      <w:pPr>
        <w:pStyle w:val="ListParagraph"/>
        <w:numPr>
          <w:ilvl w:val="0"/>
          <w:numId w:val="1"/>
        </w:numPr>
        <w:spacing w:after="40" w:before="40"/>
      </w:pPr>
      <w:r>
        <w:rPr>
          <w:color w:val="4A4A4A"/>
          <w:sz w:val="22"/>
          <w:szCs w:val="22"/>
        </w:rPr>
        <w:t xml:space="preserve">App icon: 1024×1024px (iOS), 512×512px (Android).</w:t>
      </w:r>
    </w:p>
    <w:p>
      <w:pPr>
        <w:pStyle w:val="ListParagraph"/>
        <w:numPr>
          <w:ilvl w:val="0"/>
          <w:numId w:val="1"/>
        </w:numPr>
        <w:spacing w:after="40" w:before="40"/>
      </w:pPr>
      <w:r>
        <w:rPr>
          <w:color w:val="4A4A4A"/>
          <w:sz w:val="22"/>
          <w:szCs w:val="22"/>
        </w:rPr>
        <w:t xml:space="preserve">Screenshots: iPhone 6.9" and iPad 13" (Apple); phone and 7" tablet (Google).</w:t>
      </w:r>
    </w:p>
    <w:p>
      <w:pPr>
        <w:pStyle w:val="ListParagraph"/>
        <w:numPr>
          <w:ilvl w:val="0"/>
          <w:numId w:val="1"/>
        </w:numPr>
        <w:spacing w:after="40" w:before="40"/>
      </w:pPr>
      <w:r>
        <w:rPr>
          <w:color w:val="4A4A4A"/>
          <w:sz w:val="22"/>
          <w:szCs w:val="22"/>
        </w:rPr>
        <w:t xml:space="preserve">Feature graphic: 1024×500px (Google Play).</w:t>
      </w:r>
    </w:p>
    <w:p>
      <w:pPr>
        <w:pStyle w:val="ListParagraph"/>
        <w:numPr>
          <w:ilvl w:val="0"/>
          <w:numId w:val="1"/>
        </w:numPr>
        <w:spacing w:after="40" w:before="40"/>
      </w:pPr>
      <w:r>
        <w:rPr>
          <w:color w:val="4A4A4A"/>
          <w:sz w:val="22"/>
          <w:szCs w:val="22"/>
        </w:rPr>
        <w:t xml:space="preserve">App description: short (80 chars) and full (4000 chars); must not mention competitor apps.</w:t>
      </w:r>
    </w:p>
    <w:p>
      <w:pPr>
        <w:shd w:fill="F2F4F7" w:val="clear"/>
        <w:spacing w:after="30" w:before="120"/>
      </w:pPr>
      <w:r>
        <w:rPr>
          <w:b/>
          <w:bCs/>
          <w:caps/>
          <w:color w:val="C41230"/>
          <w:sz w:val="20"/>
          <w:szCs w:val="20"/>
        </w:rPr>
        <w:t xml:space="preserve">ACTION ITEMS</w:t>
      </w:r>
    </w:p>
    <w:p>
      <w:pPr>
        <w:pStyle w:val="ListParagraph"/>
        <w:numPr>
          <w:ilvl w:val="0"/>
          <w:numId w:val="1"/>
        </w:numPr>
        <w:shd w:fill="F2F4F7" w:val="clear"/>
        <w:spacing w:after="30" w:before="30"/>
      </w:pPr>
      <w:r>
        <w:rPr>
          <w:color w:val="1A1A2E"/>
          <w:sz w:val="21"/>
          <w:szCs w:val="21"/>
        </w:rPr>
        <w:t xml:space="preserve">Prepare App Store Connect listing and complete Privacy Nutrition Label.</w:t>
      </w:r>
    </w:p>
    <w:p>
      <w:pPr>
        <w:pStyle w:val="ListParagraph"/>
        <w:numPr>
          <w:ilvl w:val="0"/>
          <w:numId w:val="1"/>
        </w:numPr>
        <w:shd w:fill="F2F4F7" w:val="clear"/>
        <w:spacing w:after="30" w:before="30"/>
      </w:pPr>
      <w:r>
        <w:rPr>
          <w:color w:val="1A1A2E"/>
          <w:sz w:val="21"/>
          <w:szCs w:val="21"/>
        </w:rPr>
        <w:t xml:space="preserve">Complete Google Play Data Safety form.</w:t>
      </w:r>
    </w:p>
    <w:p>
      <w:pPr>
        <w:pStyle w:val="ListParagraph"/>
        <w:numPr>
          <w:ilvl w:val="0"/>
          <w:numId w:val="1"/>
        </w:numPr>
        <w:shd w:fill="F2F4F7" w:val="clear"/>
        <w:spacing w:after="30" w:before="30"/>
      </w:pPr>
      <w:r>
        <w:rPr>
          <w:color w:val="1A1A2E"/>
          <w:sz w:val="21"/>
          <w:szCs w:val="21"/>
        </w:rPr>
        <w:t xml:space="preserve">Draft app store short and full descriptions; include "Source: Government of Canada" in store description.</w:t>
      </w:r>
    </w:p>
    <w:p>
      <w:pPr>
        <w:pStyle w:val="ListParagraph"/>
        <w:numPr>
          <w:ilvl w:val="0"/>
          <w:numId w:val="1"/>
        </w:numPr>
        <w:shd w:fill="F2F4F7" w:val="clear"/>
        <w:spacing w:after="30" w:before="30"/>
      </w:pPr>
      <w:r>
        <w:rPr>
          <w:color w:val="1A1A2E"/>
          <w:sz w:val="21"/>
          <w:szCs w:val="21"/>
        </w:rPr>
        <w:t xml:space="preserve">Generate all required screenshot sizes using simulator/emulator.</w:t>
      </w:r>
    </w:p>
    <w:p>
      <w:pPr>
        <w:pStyle w:val="ListParagraph"/>
        <w:numPr>
          <w:ilvl w:val="0"/>
          <w:numId w:val="1"/>
        </w:numPr>
        <w:shd w:fill="F2F4F7" w:val="clear"/>
        <w:spacing w:after="30" w:before="30"/>
      </w:pPr>
      <w:r>
        <w:rPr>
          <w:color w:val="1A1A2E"/>
          <w:sz w:val="21"/>
          <w:szCs w:val="21"/>
        </w:rPr>
        <w:t xml:space="preserve">Ensure civicvoice.ca/privacy is live and accessible before submission.</w:t>
      </w:r>
    </w:p>
    <w:p>
      <w:pPr>
        <w:spacing w:after="100" w:before="0"/>
      </w:pPr>
      <w:r>
        <w:t xml:space="preserve"/>
      </w:r>
    </w:p>
    <w:p>
      <w:pPr>
        <w:pBdr>
          <w:bottom w:val="single" w:color="DDDDDD" w:sz="6"/>
        </w:pBdr>
        <w:spacing w:after="160" w:before="160"/>
      </w:pPr>
      <w:r>
        <w:t xml:space="preserve"/>
      </w:r>
    </w:p>
    <w:p>
      <w:pPr>
        <w:pStyle w:val="Heading1"/>
      </w:pPr>
      <w:r>
        <w:rPr>
          <w:b/>
          <w:bCs/>
          <w:color w:val="C41230"/>
          <w:sz w:val="30"/>
          <w:szCs w:val="30"/>
        </w:rPr>
        <w:t xml:space="preserve">9. Monthly Update Governance</w:t>
      </w:r>
    </w:p>
    <w:p>
      <w:pPr>
        <w:spacing w:after="80" w:before="80"/>
      </w:pPr>
      <w:r>
        <w:rPr>
          <w:color w:val="4A4A4A"/>
          <w:sz w:val="22"/>
          <w:szCs w:val="22"/>
        </w:rPr>
        <w:t xml:space="preserve">Ongoing governance ensures that Civic Voice remains accurate, legally compliant, and secure as government data changes and regulations evolve. This section establishes the update cadence and accountability structure.</w:t>
      </w:r>
    </w:p>
    <w:p>
      <w:pPr>
        <w:pStyle w:val="Heading2"/>
      </w:pPr>
      <w:r>
        <w:rPr>
          <w:b/>
          <w:bCs/>
          <w:color w:val="1A1A2E"/>
          <w:sz w:val="24"/>
          <w:szCs w:val="24"/>
        </w:rPr>
        <w:t xml:space="preserve">9.1  Data Review Cadence</w:t>
      </w:r>
    </w:p>
    <w:p>
      <w:pPr>
        <w:pStyle w:val="ListParagraph"/>
        <w:numPr>
          <w:ilvl w:val="0"/>
          <w:numId w:val="1"/>
        </w:numPr>
        <w:spacing w:after="40" w:before="40"/>
      </w:pPr>
      <w:r>
        <w:rPr>
          <w:color w:val="4A4A4A"/>
          <w:sz w:val="22"/>
          <w:szCs w:val="22"/>
        </w:rPr>
        <w:t xml:space="preserve">MP and Senator rosters: update after each federal by-election, appointment, resignation, or party change. Monitor parl.ca and Parliament Hill news feeds.</w:t>
      </w:r>
    </w:p>
    <w:p>
      <w:pPr>
        <w:pStyle w:val="ListParagraph"/>
        <w:numPr>
          <w:ilvl w:val="0"/>
          <w:numId w:val="1"/>
        </w:numPr>
        <w:spacing w:after="40" w:before="40"/>
      </w:pPr>
      <w:r>
        <w:rPr>
          <w:color w:val="4A4A4A"/>
          <w:sz w:val="22"/>
          <w:szCs w:val="22"/>
        </w:rPr>
        <w:t xml:space="preserve">Cabinet / Ministry data: update following each Cabinet shuffle or Governor-in-Council order-in-council appointment.</w:t>
      </w:r>
    </w:p>
    <w:p>
      <w:pPr>
        <w:pStyle w:val="ListParagraph"/>
        <w:numPr>
          <w:ilvl w:val="0"/>
          <w:numId w:val="1"/>
        </w:numPr>
        <w:spacing w:after="40" w:before="40"/>
      </w:pPr>
      <w:r>
        <w:rPr>
          <w:color w:val="4A4A4A"/>
          <w:sz w:val="22"/>
          <w:szCs w:val="22"/>
        </w:rPr>
        <w:t xml:space="preserve">Budget and spending data: major annual update following the federal budget (typically March/April). Supplementary Estimates updates in June, October, and February.</w:t>
      </w:r>
    </w:p>
    <w:p>
      <w:pPr>
        <w:pStyle w:val="ListParagraph"/>
        <w:numPr>
          <w:ilvl w:val="0"/>
          <w:numId w:val="1"/>
        </w:numPr>
        <w:spacing w:after="40" w:before="40"/>
      </w:pPr>
      <w:r>
        <w:rPr>
          <w:color w:val="4A4A4A"/>
          <w:sz w:val="22"/>
          <w:szCs w:val="22"/>
        </w:rPr>
        <w:t xml:space="preserve">Government contracts: monthly pull from canadabuys.canada.ca proactive disclosure feed.</w:t>
      </w:r>
    </w:p>
    <w:p>
      <w:pPr>
        <w:pStyle w:val="ListParagraph"/>
        <w:numPr>
          <w:ilvl w:val="0"/>
          <w:numId w:val="1"/>
        </w:numPr>
        <w:spacing w:after="40" w:before="40"/>
      </w:pPr>
      <w:r>
        <w:rPr>
          <w:color w:val="4A4A4A"/>
          <w:sz w:val="22"/>
          <w:szCs w:val="22"/>
        </w:rPr>
        <w:t xml:space="preserve">Election polling data: update weekly during election campaign periods; monthly otherwise.</w:t>
      </w:r>
    </w:p>
    <w:p>
      <w:pPr>
        <w:pStyle w:val="Heading2"/>
      </w:pPr>
      <w:r>
        <w:rPr>
          <w:b/>
          <w:bCs/>
          <w:color w:val="1A1A2E"/>
          <w:sz w:val="24"/>
          <w:szCs w:val="24"/>
        </w:rPr>
        <w:t xml:space="preserve">9.2  Version Numbering</w:t>
      </w:r>
    </w:p>
    <w:p>
      <w:pPr>
        <w:pStyle w:val="ListParagraph"/>
        <w:numPr>
          <w:ilvl w:val="0"/>
          <w:numId w:val="1"/>
        </w:numPr>
        <w:spacing w:after="40" w:before="40"/>
      </w:pPr>
      <w:r>
        <w:rPr>
          <w:color w:val="4A4A4A"/>
          <w:sz w:val="22"/>
          <w:szCs w:val="22"/>
        </w:rPr>
        <w:t xml:space="preserve">Semantic versioning: MAJOR.MINOR.PATCH (e.g., 1.2.3).</w:t>
      </w:r>
    </w:p>
    <w:p>
      <w:pPr>
        <w:pStyle w:val="ListParagraph"/>
        <w:numPr>
          <w:ilvl w:val="1"/>
          <w:numId w:val="1"/>
        </w:numPr>
        <w:spacing w:after="20" w:before="20"/>
      </w:pPr>
      <w:r>
        <w:rPr>
          <w:color w:val="4A4A4A"/>
          <w:sz w:val="20"/>
          <w:szCs w:val="20"/>
        </w:rPr>
        <w:t xml:space="preserve">MAJOR: significant new features or breaking changes to data schema.</w:t>
      </w:r>
    </w:p>
    <w:p>
      <w:pPr>
        <w:pStyle w:val="ListParagraph"/>
        <w:numPr>
          <w:ilvl w:val="1"/>
          <w:numId w:val="1"/>
        </w:numPr>
        <w:spacing w:after="20" w:before="20"/>
      </w:pPr>
      <w:r>
        <w:rPr>
          <w:color w:val="4A4A4A"/>
          <w:sz w:val="20"/>
          <w:szCs w:val="20"/>
        </w:rPr>
        <w:t xml:space="preserve">MINOR: new data sections, UI changes, new government data sources.</w:t>
      </w:r>
    </w:p>
    <w:p>
      <w:pPr>
        <w:pStyle w:val="ListParagraph"/>
        <w:numPr>
          <w:ilvl w:val="1"/>
          <w:numId w:val="1"/>
        </w:numPr>
        <w:spacing w:after="20" w:before="20"/>
      </w:pPr>
      <w:r>
        <w:rPr>
          <w:color w:val="4A4A4A"/>
          <w:sz w:val="20"/>
          <w:szCs w:val="20"/>
        </w:rPr>
        <w:t xml:space="preserve">PATCH: data corrections, security fixes, accessibility remediations.</w:t>
      </w:r>
    </w:p>
    <w:p>
      <w:pPr>
        <w:pStyle w:val="Heading2"/>
      </w:pPr>
      <w:r>
        <w:rPr>
          <w:b/>
          <w:bCs/>
          <w:color w:val="1A1A2E"/>
          <w:sz w:val="24"/>
          <w:szCs w:val="24"/>
        </w:rPr>
        <w:t xml:space="preserve">9.3  Legal and Compliance Review</w:t>
      </w:r>
    </w:p>
    <w:p>
      <w:pPr>
        <w:pStyle w:val="ListParagraph"/>
        <w:numPr>
          <w:ilvl w:val="0"/>
          <w:numId w:val="1"/>
        </w:numPr>
        <w:spacing w:after="40" w:before="40"/>
      </w:pPr>
      <w:r>
        <w:rPr>
          <w:color w:val="4A4A4A"/>
          <w:sz w:val="22"/>
          <w:szCs w:val="22"/>
        </w:rPr>
        <w:t xml:space="preserve">Privacy Policy and Terms of Use: reviewed quarterly; updated within 30 days of any material change to data collection practices.</w:t>
      </w:r>
    </w:p>
    <w:p>
      <w:pPr>
        <w:pStyle w:val="ListParagraph"/>
        <w:numPr>
          <w:ilvl w:val="0"/>
          <w:numId w:val="1"/>
        </w:numPr>
        <w:spacing w:after="40" w:before="40"/>
      </w:pPr>
      <w:r>
        <w:rPr>
          <w:color w:val="4A4A4A"/>
          <w:sz w:val="22"/>
          <w:szCs w:val="22"/>
        </w:rPr>
        <w:t xml:space="preserve">App Store metadata: reviewed before each major app version submission.</w:t>
      </w:r>
    </w:p>
    <w:p>
      <w:pPr>
        <w:pStyle w:val="ListParagraph"/>
        <w:numPr>
          <w:ilvl w:val="0"/>
          <w:numId w:val="1"/>
        </w:numPr>
        <w:spacing w:after="40" w:before="40"/>
      </w:pPr>
      <w:r>
        <w:rPr>
          <w:color w:val="4A4A4A"/>
          <w:sz w:val="22"/>
          <w:szCs w:val="22"/>
        </w:rPr>
        <w:t xml:space="preserve">Security rules: quarterly Firestore rules review; annual penetration test once user base exceeds 10,000 MAU.</w:t>
      </w:r>
    </w:p>
    <w:p>
      <w:pPr>
        <w:pStyle w:val="Heading2"/>
      </w:pPr>
      <w:r>
        <w:rPr>
          <w:b/>
          <w:bCs/>
          <w:color w:val="1A1A2E"/>
          <w:sz w:val="24"/>
          <w:szCs w:val="24"/>
        </w:rPr>
        <w:t xml:space="preserve">9.4  Emergency Update Process</w:t>
      </w:r>
    </w:p>
    <w:p>
      <w:pPr>
        <w:pStyle w:val="ListParagraph"/>
        <w:numPr>
          <w:ilvl w:val="0"/>
          <w:numId w:val="1"/>
        </w:numPr>
        <w:spacing w:after="40" w:before="40"/>
      </w:pPr>
      <w:r>
        <w:rPr>
          <w:color w:val="4A4A4A"/>
          <w:sz w:val="22"/>
          <w:szCs w:val="22"/>
        </w:rPr>
        <w:t xml:space="preserve">If misinformation, a data error affecting a named individual, or a security vulnerability is identified: patch and deploy within 24 hours.</w:t>
      </w:r>
    </w:p>
    <w:p>
      <w:pPr>
        <w:pStyle w:val="ListParagraph"/>
        <w:numPr>
          <w:ilvl w:val="0"/>
          <w:numId w:val="1"/>
        </w:numPr>
        <w:spacing w:after="40" w:before="40"/>
      </w:pPr>
      <w:r>
        <w:rPr>
          <w:color w:val="4A4A4A"/>
          <w:sz w:val="22"/>
          <w:szCs w:val="22"/>
        </w:rPr>
        <w:t xml:space="preserve">Post a correction notice in the app's changelog visible on next open.</w:t>
      </w:r>
    </w:p>
    <w:p>
      <w:pPr>
        <w:pStyle w:val="ListParagraph"/>
        <w:numPr>
          <w:ilvl w:val="0"/>
          <w:numId w:val="1"/>
        </w:numPr>
        <w:spacing w:after="40" w:before="40"/>
      </w:pPr>
      <w:r>
        <w:rPr>
          <w:color w:val="4A4A4A"/>
          <w:sz w:val="22"/>
          <w:szCs w:val="22"/>
        </w:rPr>
        <w:t xml:space="preserve">For named-individual corrections: notify any affected person where contact information is publicly available.</w:t>
      </w:r>
    </w:p>
    <w:p>
      <w:pPr>
        <w:shd w:fill="F2F4F7" w:val="clear"/>
        <w:spacing w:after="30" w:before="120"/>
      </w:pPr>
      <w:r>
        <w:rPr>
          <w:b/>
          <w:bCs/>
          <w:caps/>
          <w:color w:val="C41230"/>
          <w:sz w:val="20"/>
          <w:szCs w:val="20"/>
        </w:rPr>
        <w:t xml:space="preserve">ACTION ITEMS</w:t>
      </w:r>
    </w:p>
    <w:p>
      <w:pPr>
        <w:pStyle w:val="ListParagraph"/>
        <w:numPr>
          <w:ilvl w:val="0"/>
          <w:numId w:val="1"/>
        </w:numPr>
        <w:shd w:fill="F2F4F7" w:val="clear"/>
        <w:spacing w:after="30" w:before="30"/>
      </w:pPr>
      <w:r>
        <w:rPr>
          <w:color w:val="1A1A2E"/>
          <w:sz w:val="21"/>
          <w:szCs w:val="21"/>
        </w:rPr>
        <w:t xml:space="preserve">Set up a monthly data review calendar event and assign a Data Steward.</w:t>
      </w:r>
    </w:p>
    <w:p>
      <w:pPr>
        <w:pStyle w:val="ListParagraph"/>
        <w:numPr>
          <w:ilvl w:val="0"/>
          <w:numId w:val="1"/>
        </w:numPr>
        <w:shd w:fill="F2F4F7" w:val="clear"/>
        <w:spacing w:after="30" w:before="30"/>
      </w:pPr>
      <w:r>
        <w:rPr>
          <w:color w:val="1A1A2E"/>
          <w:sz w:val="21"/>
          <w:szCs w:val="21"/>
        </w:rPr>
        <w:t xml:space="preserve">Create a GitHub Actions workflow to check parl.ca RSS feed for MP roster changes.</w:t>
      </w:r>
    </w:p>
    <w:p>
      <w:pPr>
        <w:pStyle w:val="ListParagraph"/>
        <w:numPr>
          <w:ilvl w:val="0"/>
          <w:numId w:val="1"/>
        </w:numPr>
        <w:shd w:fill="F2F4F7" w:val="clear"/>
        <w:spacing w:after="30" w:before="30"/>
      </w:pPr>
      <w:r>
        <w:rPr>
          <w:color w:val="1A1A2E"/>
          <w:sz w:val="21"/>
          <w:szCs w:val="21"/>
        </w:rPr>
        <w:t xml:space="preserve">Document the emergency patch runbook in the repository CONTRIBUTING.md.</w:t>
      </w:r>
    </w:p>
    <w:p>
      <w:pPr>
        <w:pStyle w:val="ListParagraph"/>
        <w:numPr>
          <w:ilvl w:val="0"/>
          <w:numId w:val="1"/>
        </w:numPr>
        <w:shd w:fill="F2F4F7" w:val="clear"/>
        <w:spacing w:after="30" w:before="30"/>
      </w:pPr>
      <w:r>
        <w:rPr>
          <w:color w:val="1A1A2E"/>
          <w:sz w:val="21"/>
          <w:szCs w:val="21"/>
        </w:rPr>
        <w:t xml:space="preserve">Schedule first quarterly legal review for October 2026.</w:t>
      </w:r>
    </w:p>
    <w:p>
      <w:pPr>
        <w:spacing w:after="100" w:before="0"/>
      </w:pPr>
      <w:r>
        <w:t xml:space="preserve"/>
      </w:r>
    </w:p>
    <w:p>
      <w:pPr>
        <w:pBdr>
          <w:bottom w:val="single" w:color="DDDDDD" w:sz="6"/>
        </w:pBdr>
        <w:spacing w:after="160" w:before="160"/>
      </w:pPr>
      <w:r>
        <w:t xml:space="preserve"/>
      </w:r>
    </w:p>
    <w:p>
      <w:pPr>
        <w:pStyle w:val="Heading1"/>
      </w:pPr>
      <w:r>
        <w:rPr>
          <w:b/>
          <w:bCs/>
          <w:color w:val="C41230"/>
          <w:sz w:val="30"/>
          <w:szCs w:val="30"/>
        </w:rPr>
        <w:t xml:space="preserve">10. Required Public Legal Pages</w:t>
      </w:r>
    </w:p>
    <w:p>
      <w:pPr>
        <w:spacing w:after="80" w:before="80"/>
      </w:pPr>
      <w:r>
        <w:rPr>
          <w:color w:val="4A4A4A"/>
          <w:sz w:val="22"/>
          <w:szCs w:val="22"/>
        </w:rPr>
        <w:t xml:space="preserve">Apple, Google, PIPEDA, and OGL-Canada 2.0 each independently require certain public legal pages. This section consolidates all requirements and specifies the minimum content for each page.</w:t>
      </w:r>
    </w:p>
    <w:p>
      <w:pPr>
        <w:pStyle w:val="Heading2"/>
      </w:pPr>
      <w:r>
        <w:rPr>
          <w:b/>
          <w:bCs/>
          <w:color w:val="1A1A2E"/>
          <w:sz w:val="24"/>
          <w:szCs w:val="24"/>
        </w:rPr>
        <w:t xml:space="preserve">10.1  Privacy Policy</w:t>
      </w:r>
    </w:p>
    <w:p>
      <w:pPr>
        <w:pStyle w:val="ListParagraph"/>
        <w:numPr>
          <w:ilvl w:val="0"/>
          <w:numId w:val="1"/>
        </w:numPr>
        <w:spacing w:after="40" w:before="40"/>
      </w:pPr>
      <w:r>
        <w:rPr>
          <w:color w:val="4A4A4A"/>
          <w:sz w:val="22"/>
          <w:szCs w:val="22"/>
        </w:rPr>
        <w:t xml:space="preserve">Required by: Apple App Store, Google Play, PIPEDA, Bill C-27 (CPPA).</w:t>
      </w:r>
    </w:p>
    <w:p>
      <w:pPr>
        <w:pStyle w:val="ListParagraph"/>
        <w:numPr>
          <w:ilvl w:val="0"/>
          <w:numId w:val="1"/>
        </w:numPr>
        <w:spacing w:after="40" w:before="40"/>
      </w:pPr>
      <w:r>
        <w:rPr>
          <w:color w:val="4A4A4A"/>
          <w:sz w:val="22"/>
          <w:szCs w:val="22"/>
        </w:rPr>
        <w:t xml:space="preserve">Must cover: identity and contact details of the data controller; categories of personal information collected; purpose of collection; retention period; user rights (access, correction, deletion); how to exercise rights; complaint process (including OPCC as supervisory authority).</w:t>
      </w:r>
    </w:p>
    <w:p>
      <w:pPr>
        <w:pStyle w:val="ListParagraph"/>
        <w:numPr>
          <w:ilvl w:val="0"/>
          <w:numId w:val="1"/>
        </w:numPr>
        <w:spacing w:after="40" w:before="40"/>
      </w:pPr>
      <w:r>
        <w:rPr>
          <w:color w:val="4A4A4A"/>
          <w:sz w:val="22"/>
          <w:szCs w:val="22"/>
        </w:rPr>
        <w:t xml:space="preserve">Hosted at: civicvoice.ca/privacy — must be publicly accessible without login.</w:t>
      </w:r>
    </w:p>
    <w:p>
      <w:pPr>
        <w:pStyle w:val="Heading2"/>
      </w:pPr>
      <w:r>
        <w:rPr>
          <w:b/>
          <w:bCs/>
          <w:color w:val="1A1A2E"/>
          <w:sz w:val="24"/>
          <w:szCs w:val="24"/>
        </w:rPr>
        <w:t xml:space="preserve">10.2  Terms of Use</w:t>
      </w:r>
    </w:p>
    <w:p>
      <w:pPr>
        <w:pStyle w:val="ListParagraph"/>
        <w:numPr>
          <w:ilvl w:val="0"/>
          <w:numId w:val="1"/>
        </w:numPr>
        <w:spacing w:after="40" w:before="40"/>
      </w:pPr>
      <w:r>
        <w:rPr>
          <w:color w:val="4A4A4A"/>
          <w:sz w:val="22"/>
          <w:szCs w:val="22"/>
        </w:rPr>
        <w:t xml:space="preserve">Required by: Apple App Store review guidelines; good practice for any public-facing civic platform.</w:t>
      </w:r>
    </w:p>
    <w:p>
      <w:pPr>
        <w:pStyle w:val="ListParagraph"/>
        <w:numPr>
          <w:ilvl w:val="0"/>
          <w:numId w:val="1"/>
        </w:numPr>
        <w:spacing w:after="40" w:before="40"/>
      </w:pPr>
      <w:r>
        <w:rPr>
          <w:color w:val="4A4A4A"/>
          <w:sz w:val="22"/>
          <w:szCs w:val="22"/>
        </w:rPr>
        <w:t xml:space="preserve">Must cover: disclaimer that content is for informational purposes only and does not constitute legal, financial, or political advice; limitation of liability; OGL-Canada 2.0 acknowledgement for government data; prohibition on using the app to harass individuals; governing law (province of incorporation).</w:t>
      </w:r>
    </w:p>
    <w:p>
      <w:pPr>
        <w:pStyle w:val="ListParagraph"/>
        <w:numPr>
          <w:ilvl w:val="0"/>
          <w:numId w:val="1"/>
        </w:numPr>
        <w:spacing w:after="40" w:before="40"/>
      </w:pPr>
      <w:r>
        <w:rPr>
          <w:color w:val="4A4A4A"/>
          <w:sz w:val="22"/>
          <w:szCs w:val="22"/>
        </w:rPr>
        <w:t xml:space="preserve">Hosted at: civicvoice.ca/terms</w:t>
      </w:r>
    </w:p>
    <w:p>
      <w:pPr>
        <w:pStyle w:val="Heading2"/>
      </w:pPr>
      <w:r>
        <w:rPr>
          <w:b/>
          <w:bCs/>
          <w:color w:val="1A1A2E"/>
          <w:sz w:val="24"/>
          <w:szCs w:val="24"/>
        </w:rPr>
        <w:t xml:space="preserve">10.3  Accessibility Statement</w:t>
      </w:r>
    </w:p>
    <w:p>
      <w:pPr>
        <w:pStyle w:val="ListParagraph"/>
        <w:numPr>
          <w:ilvl w:val="0"/>
          <w:numId w:val="1"/>
        </w:numPr>
        <w:spacing w:after="40" w:before="40"/>
      </w:pPr>
      <w:r>
        <w:rPr>
          <w:color w:val="4A4A4A"/>
          <w:sz w:val="22"/>
          <w:szCs w:val="22"/>
        </w:rPr>
        <w:t xml:space="preserve">Required by: AODA (Ontario), ACA (if applicable), best practice.</w:t>
      </w:r>
    </w:p>
    <w:p>
      <w:pPr>
        <w:pStyle w:val="ListParagraph"/>
        <w:numPr>
          <w:ilvl w:val="0"/>
          <w:numId w:val="1"/>
        </w:numPr>
        <w:spacing w:after="40" w:before="40"/>
      </w:pPr>
      <w:r>
        <w:rPr>
          <w:color w:val="4A4A4A"/>
          <w:sz w:val="22"/>
          <w:szCs w:val="22"/>
        </w:rPr>
        <w:t xml:space="preserve">Must cover: commitment to WCAG 2.1 Level AA; known limitations and remediation timeline; feedback mechanism (email or form for accessibility issues); last review date.</w:t>
      </w:r>
    </w:p>
    <w:p>
      <w:pPr>
        <w:pStyle w:val="ListParagraph"/>
        <w:numPr>
          <w:ilvl w:val="0"/>
          <w:numId w:val="1"/>
        </w:numPr>
        <w:spacing w:after="40" w:before="40"/>
      </w:pPr>
      <w:r>
        <w:rPr>
          <w:color w:val="4A4A4A"/>
          <w:sz w:val="22"/>
          <w:szCs w:val="22"/>
        </w:rPr>
        <w:t xml:space="preserve">Hosted at: civicvoice.ca/accessibility</w:t>
      </w:r>
    </w:p>
    <w:p>
      <w:pPr>
        <w:pStyle w:val="Heading2"/>
      </w:pPr>
      <w:r>
        <w:rPr>
          <w:b/>
          <w:bCs/>
          <w:color w:val="1A1A2E"/>
          <w:sz w:val="24"/>
          <w:szCs w:val="24"/>
        </w:rPr>
        <w:t xml:space="preserve">10.4  Data Sources Page</w:t>
      </w:r>
    </w:p>
    <w:p>
      <w:pPr>
        <w:pStyle w:val="ListParagraph"/>
        <w:numPr>
          <w:ilvl w:val="0"/>
          <w:numId w:val="1"/>
        </w:numPr>
        <w:spacing w:after="40" w:before="40"/>
      </w:pPr>
      <w:r>
        <w:rPr>
          <w:color w:val="4A4A4A"/>
          <w:sz w:val="22"/>
          <w:szCs w:val="22"/>
        </w:rPr>
        <w:t xml:space="preserve">Required by: OGL-Canada 2.0 attribution requirement; civic transparency best practice.</w:t>
      </w:r>
    </w:p>
    <w:p>
      <w:pPr>
        <w:pStyle w:val="ListParagraph"/>
        <w:numPr>
          <w:ilvl w:val="0"/>
          <w:numId w:val="1"/>
        </w:numPr>
        <w:spacing w:after="40" w:before="40"/>
      </w:pPr>
      <w:r>
        <w:rPr>
          <w:color w:val="4A4A4A"/>
          <w:sz w:val="22"/>
          <w:szCs w:val="22"/>
        </w:rPr>
        <w:t xml:space="preserve">Must cover: list of all data sources with URLs and licences; Civic Voice attribution note ("Source: Government of Canada"); statement distinguishing official data from editorial/modelled data.</w:t>
      </w:r>
    </w:p>
    <w:p>
      <w:pPr>
        <w:pStyle w:val="ListParagraph"/>
        <w:numPr>
          <w:ilvl w:val="0"/>
          <w:numId w:val="1"/>
        </w:numPr>
        <w:spacing w:after="40" w:before="40"/>
      </w:pPr>
      <w:r>
        <w:rPr>
          <w:color w:val="4A4A4A"/>
          <w:sz w:val="22"/>
          <w:szCs w:val="22"/>
        </w:rPr>
        <w:t xml:space="preserve">Hosted at: civicvoice.ca/sources</w:t>
      </w:r>
    </w:p>
    <w:p>
      <w:pPr>
        <w:pStyle w:val="Heading2"/>
      </w:pPr>
      <w:r>
        <w:rPr>
          <w:b/>
          <w:bCs/>
          <w:color w:val="1A1A2E"/>
          <w:sz w:val="24"/>
          <w:szCs w:val="24"/>
        </w:rPr>
        <w:t xml:space="preserve">10.5  In-App Linking Requirements</w:t>
      </w:r>
    </w:p>
    <w:p>
      <w:pPr>
        <w:pStyle w:val="ListParagraph"/>
        <w:numPr>
          <w:ilvl w:val="0"/>
          <w:numId w:val="1"/>
        </w:numPr>
        <w:spacing w:after="40" w:before="40"/>
      </w:pPr>
      <w:r>
        <w:rPr>
          <w:color w:val="4A4A4A"/>
          <w:sz w:val="22"/>
          <w:szCs w:val="22"/>
        </w:rPr>
        <w:t xml:space="preserve">All four pages must be linked from: the app's Settings / About screen; the app's footer (already present: About and Disclaimer); the App Store listing (Privacy Policy URL field).</w:t>
      </w:r>
    </w:p>
    <w:p>
      <w:pPr>
        <w:pStyle w:val="ListParagraph"/>
        <w:numPr>
          <w:ilvl w:val="0"/>
          <w:numId w:val="1"/>
        </w:numPr>
        <w:spacing w:after="40" w:before="40"/>
      </w:pPr>
      <w:r>
        <w:rPr>
          <w:color w:val="4A4A4A"/>
          <w:sz w:val="22"/>
          <w:szCs w:val="22"/>
        </w:rPr>
        <w:t xml:space="preserve">Footer in the app currently shows "About" and "Disclaimer" — add "Privacy Policy", "Terms", "Accessibility", and "Data Sources" links.</w:t>
      </w:r>
    </w:p>
    <w:p>
      <w:pPr>
        <w:shd w:fill="F2F4F7" w:val="clear"/>
        <w:spacing w:after="30" w:before="120"/>
      </w:pPr>
      <w:r>
        <w:rPr>
          <w:b/>
          <w:bCs/>
          <w:caps/>
          <w:color w:val="C41230"/>
          <w:sz w:val="20"/>
          <w:szCs w:val="20"/>
        </w:rPr>
        <w:t xml:space="preserve">ACTION ITEMS</w:t>
      </w:r>
    </w:p>
    <w:p>
      <w:pPr>
        <w:pStyle w:val="ListParagraph"/>
        <w:numPr>
          <w:ilvl w:val="0"/>
          <w:numId w:val="1"/>
        </w:numPr>
        <w:shd w:fill="F2F4F7" w:val="clear"/>
        <w:spacing w:after="30" w:before="30"/>
      </w:pPr>
      <w:r>
        <w:rPr>
          <w:color w:val="1A1A2E"/>
          <w:sz w:val="21"/>
          <w:szCs w:val="21"/>
        </w:rPr>
        <w:t xml:space="preserve">Draft Privacy Policy — target completion: August 2026.</w:t>
      </w:r>
    </w:p>
    <w:p>
      <w:pPr>
        <w:pStyle w:val="ListParagraph"/>
        <w:numPr>
          <w:ilvl w:val="0"/>
          <w:numId w:val="1"/>
        </w:numPr>
        <w:shd w:fill="F2F4F7" w:val="clear"/>
        <w:spacing w:after="30" w:before="30"/>
      </w:pPr>
      <w:r>
        <w:rPr>
          <w:color w:val="1A1A2E"/>
          <w:sz w:val="21"/>
          <w:szCs w:val="21"/>
        </w:rPr>
        <w:t xml:space="preserve">Draft Terms of Use — target completion: August 2026.</w:t>
      </w:r>
    </w:p>
    <w:p>
      <w:pPr>
        <w:pStyle w:val="ListParagraph"/>
        <w:numPr>
          <w:ilvl w:val="0"/>
          <w:numId w:val="1"/>
        </w:numPr>
        <w:shd w:fill="F2F4F7" w:val="clear"/>
        <w:spacing w:after="30" w:before="30"/>
      </w:pPr>
      <w:r>
        <w:rPr>
          <w:color w:val="1A1A2E"/>
          <w:sz w:val="21"/>
          <w:szCs w:val="21"/>
        </w:rPr>
        <w:t xml:space="preserve">Draft Accessibility Statement — target completion: September 2026.</w:t>
      </w:r>
    </w:p>
    <w:p>
      <w:pPr>
        <w:pStyle w:val="ListParagraph"/>
        <w:numPr>
          <w:ilvl w:val="0"/>
          <w:numId w:val="1"/>
        </w:numPr>
        <w:shd w:fill="F2F4F7" w:val="clear"/>
        <w:spacing w:after="30" w:before="30"/>
      </w:pPr>
      <w:r>
        <w:rPr>
          <w:color w:val="1A1A2E"/>
          <w:sz w:val="21"/>
          <w:szCs w:val="21"/>
        </w:rPr>
        <w:t xml:space="preserve">Draft Data Sources page — target completion: August 2026.</w:t>
      </w:r>
    </w:p>
    <w:p>
      <w:pPr>
        <w:pStyle w:val="ListParagraph"/>
        <w:numPr>
          <w:ilvl w:val="0"/>
          <w:numId w:val="1"/>
        </w:numPr>
        <w:shd w:fill="F2F4F7" w:val="clear"/>
        <w:spacing w:after="30" w:before="30"/>
      </w:pPr>
      <w:r>
        <w:rPr>
          <w:color w:val="1A1A2E"/>
          <w:sz w:val="21"/>
          <w:szCs w:val="21"/>
        </w:rPr>
        <w:t xml:space="preserve">Host all four pages on civicvoice.ca before first App Store submission.</w:t>
      </w:r>
    </w:p>
    <w:p>
      <w:pPr>
        <w:pStyle w:val="ListParagraph"/>
        <w:numPr>
          <w:ilvl w:val="0"/>
          <w:numId w:val="1"/>
        </w:numPr>
        <w:shd w:fill="F2F4F7" w:val="clear"/>
        <w:spacing w:after="30" w:before="30"/>
      </w:pPr>
      <w:r>
        <w:rPr>
          <w:color w:val="1A1A2E"/>
          <w:sz w:val="21"/>
          <w:szCs w:val="21"/>
        </w:rPr>
        <w:t xml:space="preserve">Update in-app footer to include links to all four pages.</w:t>
      </w:r>
    </w:p>
    <w:p>
      <w:pPr>
        <w:spacing w:after="100" w:before="0"/>
      </w:pPr>
      <w:r>
        <w:t xml:space="preserve"/>
      </w:r>
    </w:p>
    <w:p>
      <w:pPr>
        <w:pBdr>
          <w:bottom w:val="single" w:color="DDDDDD" w:sz="6"/>
        </w:pBdr>
        <w:spacing w:after="160" w:before="160"/>
      </w:pPr>
      <w:r>
        <w:t xml:space="preserve"/>
      </w:r>
    </w:p>
    <w:p>
      <w:pPr>
        <w:pStyle w:val="Heading1"/>
      </w:pPr>
      <w:r>
        <w:rPr>
          <w:b/>
          <w:bCs/>
          <w:color w:val="C41230"/>
          <w:sz w:val="30"/>
          <w:szCs w:val="30"/>
        </w:rPr>
        <w:t xml:space="preserve">Appendix: Reference Materials</w:t>
      </w:r>
    </w:p>
    <w:p>
      <w:pPr>
        <w:pStyle w:val="Heading2"/>
      </w:pPr>
      <w:r>
        <w:rPr>
          <w:b/>
          <w:bCs/>
          <w:color w:val="1A1A2E"/>
          <w:sz w:val="24"/>
          <w:szCs w:val="24"/>
        </w:rPr>
        <w:t xml:space="preserve">A.  Key Canadian Legislation Referenced</w:t>
      </w:r>
    </w:p>
    <w:p>
      <w:pPr>
        <w:pStyle w:val="ListParagraph"/>
        <w:numPr>
          <w:ilvl w:val="0"/>
          <w:numId w:val="1"/>
        </w:numPr>
        <w:spacing w:after="40" w:before="40"/>
      </w:pPr>
      <w:r>
        <w:rPr>
          <w:color w:val="4A4A4A"/>
          <w:sz w:val="22"/>
          <w:szCs w:val="22"/>
        </w:rPr>
        <w:t xml:space="preserve">PIPEDA — Personal Information Protection and Electronic Documents Act, S.C. 2000, c. 5</w:t>
      </w:r>
    </w:p>
    <w:p>
      <w:pPr>
        <w:pStyle w:val="ListParagraph"/>
        <w:numPr>
          <w:ilvl w:val="0"/>
          <w:numId w:val="1"/>
        </w:numPr>
        <w:spacing w:after="40" w:before="40"/>
      </w:pPr>
      <w:r>
        <w:rPr>
          <w:color w:val="4A4A4A"/>
          <w:sz w:val="22"/>
          <w:szCs w:val="22"/>
        </w:rPr>
        <w:t xml:space="preserve">Bill C-27 / CPPA — Consumer Privacy Protection Act (proposed; Part 1 of C-27)</w:t>
      </w:r>
    </w:p>
    <w:p>
      <w:pPr>
        <w:pStyle w:val="ListParagraph"/>
        <w:numPr>
          <w:ilvl w:val="0"/>
          <w:numId w:val="1"/>
        </w:numPr>
        <w:spacing w:after="40" w:before="40"/>
      </w:pPr>
      <w:r>
        <w:rPr>
          <w:color w:val="4A4A4A"/>
          <w:sz w:val="22"/>
          <w:szCs w:val="22"/>
        </w:rPr>
        <w:t xml:space="preserve">Bill C-27 / AIDA — Artificial Intelligence and Data Act (proposed; Part 3 of C-27)</w:t>
      </w:r>
    </w:p>
    <w:p>
      <w:pPr>
        <w:pStyle w:val="ListParagraph"/>
        <w:numPr>
          <w:ilvl w:val="0"/>
          <w:numId w:val="1"/>
        </w:numPr>
        <w:spacing w:after="40" w:before="40"/>
      </w:pPr>
      <w:r>
        <w:rPr>
          <w:color w:val="4A4A4A"/>
          <w:sz w:val="22"/>
          <w:szCs w:val="22"/>
        </w:rPr>
        <w:t xml:space="preserve">CASL — An Act to promote the efficiency and adaptability of the Canadian economy by regulating certain activities that discourage reliance on electronic means to carry out commercial activities, S.C. 2010, c. 23</w:t>
      </w:r>
    </w:p>
    <w:p>
      <w:pPr>
        <w:pStyle w:val="ListParagraph"/>
        <w:numPr>
          <w:ilvl w:val="0"/>
          <w:numId w:val="1"/>
        </w:numPr>
        <w:spacing w:after="40" w:before="40"/>
      </w:pPr>
      <w:r>
        <w:rPr>
          <w:color w:val="4A4A4A"/>
          <w:sz w:val="22"/>
          <w:szCs w:val="22"/>
        </w:rPr>
        <w:t xml:space="preserve">ACA — Accessible Canada Act, S.C. 2019, c. 10</w:t>
      </w:r>
    </w:p>
    <w:p>
      <w:pPr>
        <w:pStyle w:val="ListParagraph"/>
        <w:numPr>
          <w:ilvl w:val="0"/>
          <w:numId w:val="1"/>
        </w:numPr>
        <w:spacing w:after="40" w:before="40"/>
      </w:pPr>
      <w:r>
        <w:rPr>
          <w:color w:val="4A4A4A"/>
          <w:sz w:val="22"/>
          <w:szCs w:val="22"/>
        </w:rPr>
        <w:t xml:space="preserve">Bill C-18 — Online News Act, S.C. 2023, c. 23</w:t>
      </w:r>
    </w:p>
    <w:p>
      <w:pPr>
        <w:pStyle w:val="ListParagraph"/>
        <w:numPr>
          <w:ilvl w:val="0"/>
          <w:numId w:val="1"/>
        </w:numPr>
        <w:spacing w:after="40" w:before="40"/>
      </w:pPr>
      <w:r>
        <w:rPr>
          <w:color w:val="4A4A4A"/>
          <w:sz w:val="22"/>
          <w:szCs w:val="22"/>
        </w:rPr>
        <w:t xml:space="preserve">AODA — Accessibility for Ontarians with Disabilities Act, S.O. 2005, c. 11 (Ontario provincial)</w:t>
      </w:r>
    </w:p>
    <w:p>
      <w:pPr>
        <w:pStyle w:val="Heading2"/>
      </w:pPr>
      <w:r>
        <w:rPr>
          <w:b/>
          <w:bCs/>
          <w:color w:val="1A1A2E"/>
          <w:sz w:val="24"/>
          <w:szCs w:val="24"/>
        </w:rPr>
        <w:t xml:space="preserve">B.  Key Data Licences</w:t>
      </w:r>
    </w:p>
    <w:p>
      <w:pPr>
        <w:pStyle w:val="ListParagraph"/>
        <w:numPr>
          <w:ilvl w:val="0"/>
          <w:numId w:val="1"/>
        </w:numPr>
        <w:spacing w:after="40" w:before="40"/>
      </w:pPr>
      <w:r>
        <w:rPr>
          <w:color w:val="4A4A4A"/>
          <w:sz w:val="22"/>
          <w:szCs w:val="22"/>
        </w:rPr>
        <w:t xml:space="preserve">Open Government Licence – Canada (OGL-Canada 2.0): https://open.canada.ca/en/open-government-licence-canada</w:t>
      </w:r>
    </w:p>
    <w:p>
      <w:pPr>
        <w:pStyle w:val="ListParagraph"/>
        <w:numPr>
          <w:ilvl w:val="0"/>
          <w:numId w:val="1"/>
        </w:numPr>
        <w:spacing w:after="40" w:before="40"/>
      </w:pPr>
      <w:r>
        <w:rPr>
          <w:color w:val="4A4A4A"/>
          <w:sz w:val="22"/>
          <w:szCs w:val="22"/>
        </w:rPr>
        <w:t xml:space="preserve">Statistics Canada Open Licence: https://www.statcan.gc.ca/en/reference/licence</w:t>
      </w:r>
    </w:p>
    <w:p>
      <w:pPr>
        <w:pStyle w:val="Heading2"/>
      </w:pPr>
      <w:r>
        <w:rPr>
          <w:b/>
          <w:bCs/>
          <w:color w:val="1A1A2E"/>
          <w:sz w:val="24"/>
          <w:szCs w:val="24"/>
        </w:rPr>
        <w:t xml:space="preserve">C.  Useful Links</w:t>
      </w:r>
    </w:p>
    <w:p>
      <w:pPr>
        <w:pStyle w:val="ListParagraph"/>
        <w:numPr>
          <w:ilvl w:val="0"/>
          <w:numId w:val="1"/>
        </w:numPr>
        <w:spacing w:after="40" w:before="40"/>
      </w:pPr>
      <w:r>
        <w:rPr>
          <w:color w:val="4A4A4A"/>
          <w:sz w:val="22"/>
          <w:szCs w:val="22"/>
        </w:rPr>
        <w:t xml:space="preserve">Government of Canada Open Data Portal: https://open.canada.ca</w:t>
      </w:r>
    </w:p>
    <w:p>
      <w:pPr>
        <w:pStyle w:val="ListParagraph"/>
        <w:numPr>
          <w:ilvl w:val="0"/>
          <w:numId w:val="1"/>
        </w:numPr>
        <w:spacing w:after="40" w:before="40"/>
      </w:pPr>
      <w:r>
        <w:rPr>
          <w:color w:val="4A4A4A"/>
          <w:sz w:val="22"/>
          <w:szCs w:val="22"/>
        </w:rPr>
        <w:t xml:space="preserve">Parliament of Canada: https://www.parl.ca</w:t>
      </w:r>
    </w:p>
    <w:p>
      <w:pPr>
        <w:pStyle w:val="ListParagraph"/>
        <w:numPr>
          <w:ilvl w:val="0"/>
          <w:numId w:val="1"/>
        </w:numPr>
        <w:spacing w:after="40" w:before="40"/>
      </w:pPr>
      <w:r>
        <w:rPr>
          <w:color w:val="4A4A4A"/>
          <w:sz w:val="22"/>
          <w:szCs w:val="22"/>
        </w:rPr>
        <w:t xml:space="preserve">CanadaBuys (Proactive Disclosure): https://canadabuys.canada.ca</w:t>
      </w:r>
    </w:p>
    <w:p>
      <w:pPr>
        <w:pStyle w:val="ListParagraph"/>
        <w:numPr>
          <w:ilvl w:val="0"/>
          <w:numId w:val="1"/>
        </w:numPr>
        <w:spacing w:after="40" w:before="40"/>
      </w:pPr>
      <w:r>
        <w:rPr>
          <w:color w:val="4A4A4A"/>
          <w:sz w:val="22"/>
          <w:szCs w:val="22"/>
        </w:rPr>
        <w:t xml:space="preserve">Elections Canada: https://www.elections.ca</w:t>
      </w:r>
    </w:p>
    <w:p>
      <w:pPr>
        <w:pStyle w:val="ListParagraph"/>
        <w:numPr>
          <w:ilvl w:val="0"/>
          <w:numId w:val="1"/>
        </w:numPr>
        <w:spacing w:after="40" w:before="40"/>
      </w:pPr>
      <w:r>
        <w:rPr>
          <w:color w:val="4A4A4A"/>
          <w:sz w:val="22"/>
          <w:szCs w:val="22"/>
        </w:rPr>
        <w:t xml:space="preserve">Office of the Privacy Commissioner of Canada: https://www.priv.gc.ca</w:t>
      </w:r>
    </w:p>
    <w:p>
      <w:pPr>
        <w:pStyle w:val="ListParagraph"/>
        <w:numPr>
          <w:ilvl w:val="0"/>
          <w:numId w:val="1"/>
        </w:numPr>
        <w:spacing w:after="40" w:before="40"/>
      </w:pPr>
      <w:r>
        <w:rPr>
          <w:color w:val="4A4A4A"/>
          <w:sz w:val="22"/>
          <w:szCs w:val="22"/>
        </w:rPr>
        <w:t xml:space="preserve">Canadian Radio-television and Telecommunications Commission (CASL enforcement): https://www.crtc.gc.ca</w:t>
      </w:r>
    </w:p>
    <w:p>
      <w:pPr>
        <w:pStyle w:val="ListParagraph"/>
        <w:numPr>
          <w:ilvl w:val="0"/>
          <w:numId w:val="1"/>
        </w:numPr>
        <w:spacing w:after="40" w:before="40"/>
      </w:pPr>
      <w:r>
        <w:rPr>
          <w:color w:val="4A4A4A"/>
          <w:sz w:val="22"/>
          <w:szCs w:val="22"/>
        </w:rPr>
        <w:t xml:space="preserve">Accessibility Standards Canada: https://accessible.canada.ca</w:t>
      </w:r>
    </w:p>
    <w:p>
      <w:pPr>
        <w:spacing w:after="0" w:before="200"/>
      </w:pPr>
      <w:r>
        <w:t xml:space="preserve"/>
      </w:r>
    </w:p>
    <w:p>
      <w:pPr>
        <w:jc w:val="center"/>
      </w:pPr>
      <w:r>
        <w:rPr>
          <w:i/>
          <w:iCs/>
          <w:color w:val="AAAAAA"/>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lvl w:ilvl="1" w15:tentative="1">
      <w:start w:val="1"/>
      <w:numFmt w:val="bullet"/>
      <w:lvlText w:val="◦"/>
      <w:lvlJc w:val="left"/>
      <w:pPr>
        <w:ind w:left="1080"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4A4A"/>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C41230"/>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1A1A2E"/>
      <w:sz w:val="24"/>
      <w:szCs w:val="24"/>
    </w:rPr>
  </w:style>
  <w:style w:type="paragraph" w:styleId="Heading3">
    <w:name w:val="Heading 3"/>
    <w:basedOn w:val="Normal"/>
    <w:next w:val="Normal"/>
    <w:qFormat/>
    <w:pPr>
      <w:spacing w:after="80" w:before="180"/>
      <w:outlineLvl w:val="2"/>
    </w:pPr>
    <w:rPr>
      <w:rFonts w:ascii="Calibri" w:cs="Calibri" w:eastAsia="Calibri" w:hAnsi="Calibri"/>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2026-07-16T23:50:26.396Z</dcterms:created>
  <dcterms:modified xsi:type="dcterms:W3CDTF">2026-07-16T23:50:26.398Z</dcterms:modified>
</cp:coreProperties>
</file>

<file path=docProps/custom.xml><?xml version="1.0" encoding="utf-8"?>
<Properties xmlns="http://schemas.openxmlformats.org/officeDocument/2006/custom-properties" xmlns:vt="http://schemas.openxmlformats.org/officeDocument/2006/docPropsVTypes"/>
</file>