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Events Organizing Ltd.</w:t>
          </w:r>
        </w:p>
        <w:p>
          <w:pPr>
            <w:spacing w:before="0" w:after="40"/>
          </w:pPr>
          <w:r>
            <w:rPr>
              <w:rFonts w:ascii="Manrope" w:hAnsi="Manrope"/>
              <w:color w:val="4A5568"/>
              <w:sz w:val="17"/>
            </w:rPr>
            <w:t>Office 806, 8th Floor, Liberty House, Dubai International Financial Centre, DIFC, Dubai, UAE</w:t>
          </w:r>
        </w:p>
        <w:p>
          <w:pPr>
            <w:spacing w:before="0" w:after="80"/>
          </w:pPr>
          <w:r>
            <w:rPr>
              <w:rFonts w:ascii="Manrope" w:hAnsi="Manrope"/>
              <w:color w:val="4A5568"/>
              <w:sz w:val="16"/>
            </w:rPr>
            <w:t>[License number CL6668.]</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uae@tresconglobal.com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