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0"/>
      </w:pP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Prom’S Complex, 3h, 7th C Main Rd, 3rd Block Koramangala, Bengaluru, Karnataka – 560034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9"/>
      <w:gridCol w:w="3402"/>
      <w:gridCol w:w="3402"/>
    </w:tblGrid>
    <w:tr>
      <w:tc>
        <w:tcPr>
          <w:tcW w:type="dxa" w:w="3969"/>
          <w:tcBorders>
            <w:top w:val="none"/>
            <w:left w:val="none"/>
            <w:bottom w:val="none"/>
            <w:right w:val="none"/>
          </w:tcBorders>
        </w:tcPr>
        <w:p>
          <w:pPr>
            <w:spacing w:after="0"/>
            <w:jc w:val="left"/>
          </w:pPr>
          <w:r>
            <w:drawing>
              <wp:inline xmlns:a="http://schemas.openxmlformats.org/drawingml/2006/main" xmlns:pic="http://schemas.openxmlformats.org/drawingml/2006/picture">
                <wp:extent cx="930364"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930364" cy="571500"/>
                        </a:xfrm>
                        <a:prstGeom prst="rect"/>
                      </pic:spPr>
                    </pic:pic>
                  </a:graphicData>
                </a:graphic>
              </wp:inline>
            </w:drawing>
          </w:r>
        </w:p>
      </w:tc>
      <w:tc>
        <w:tcPr>
          <w:tcW w:type="dxa" w:w="3402"/>
          <w:tcBorders>
            <w:top w:val="none"/>
            <w:left w:val="none"/>
            <w:bottom w:val="none"/>
            <w:right w:val="none"/>
          </w:tcBorders>
          <w:tcBorders>
            <w:top w:val="none"/>
            <w:left w:val="single" w:sz="8" w:space="0" w:color="00A5A3"/>
            <w:bottom w:val="none"/>
            <w:right w:val="none"/>
          </w:tcBorders>
        </w:tcPr>
        <w:p>
          <w:pPr>
            <w:spacing w:before="120" w:after="0"/>
            <w:jc w:val="left"/>
          </w:pPr>
          <w:r>
            <w:rPr>
              <w:rFonts w:ascii="Manrope" w:hAnsi="Manrope"/>
              <w:b/>
              <w:color w:val="01373D"/>
              <w:sz w:val="19"/>
            </w:rPr>
            <w:t xml:space="preserve">  Connecting Businesses</w:t>
            <w:br/>
            <w:t xml:space="preserve">  with Opportunities</w:t>
          </w:r>
        </w:p>
      </w:tc>
      <w:tc>
        <w:tcPr>
          <w:tcW w:type="dxa" w:w="3402"/>
          <w:tcBorders>
            <w:top w:val="none"/>
            <w:left w:val="none"/>
            <w:bottom w:val="none"/>
            <w:right w:val="none"/>
          </w:tcBorders>
        </w:tcPr>
        <w:p>
          <w:pPr>
            <w:spacing w:before="12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