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sectPr w:rsidR="00FC693F" w:rsidRPr="0006063C" w:rsidSect="00034616">
      <w:headerReference w:type="default" r:id="rId9"/>
      <w:footerReference w:type="default" r:id="rId10"/>
      <w:pgSz w:w="11909" w:h="16834"/>
      <w:pgMar w:top="1584" w:right="576" w:bottom="1296" w:left="57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57"/>
    </w:tblGrid>
    <w:tr>
      <w:tc>
        <w:tcPr>
          <w:tcW w:type="dxa" w:w="10757"/>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Prom’S Complex, 3h, 7th C Main Rd, 3rd Block Koramangala, Bengaluru, Karnataka – 560034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none"/>
        <w:left w:val="none"/>
        <w:bottom w:val="single" w:sz="12" w:space="0" w:color="00A5A3"/>
        <w:right w:val="none"/>
        <w:insideH w:val="none"/>
        <w:insideV w:val="none"/>
      </w:tblBorders>
    </w:tblPr>
    <w:tblGrid>
      <w:gridCol w:w="3586"/>
      <w:gridCol w:w="3586"/>
      <w:gridCol w:w="3586"/>
    </w:tblGrid>
    <w:tr>
      <w:tc>
        <w:tcPr>
          <w:tcW w:type="dxa" w:w="4032"/>
          <w:tcBorders>
            <w:top w:val="none"/>
            <w:left w:val="none"/>
            <w:bottom w:val="none"/>
            <w:right w:val="none"/>
          </w:tcBorders>
        </w:tcPr>
        <w:p>
          <w:pPr>
            <w:spacing w:after="40"/>
            <w:jc w:val="left"/>
          </w:pPr>
          <w:r>
            <w:drawing>
              <wp:inline xmlns:a="http://schemas.openxmlformats.org/drawingml/2006/main" xmlns:pic="http://schemas.openxmlformats.org/drawingml/2006/picture">
                <wp:extent cx="2240280" cy="1376149"/>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240280" cy="1376149"/>
                        </a:xfrm>
                        <a:prstGeom prst="rect"/>
                      </pic:spPr>
                    </pic:pic>
                  </a:graphicData>
                </a:graphic>
              </wp:inline>
            </w:drawing>
          </w:r>
        </w:p>
      </w:tc>
      <w:tc>
        <w:tcPr>
          <w:tcW w:type="dxa" w:w="3744"/>
          <w:tcBorders>
            <w:top w:val="none"/>
            <w:left w:val="none"/>
            <w:bottom w:val="none"/>
            <w:right w:val="none"/>
          </w:tcBorders>
          <w:tcBorders>
            <w:top w:val="none"/>
            <w:left w:val="single" w:sz="8" w:space="0" w:color="00A5A3"/>
            <w:bottom w:val="none"/>
            <w:right w:val="none"/>
          </w:tcBorders>
        </w:tcPr>
        <w:p>
          <w:pPr>
            <w:spacing w:before="160" w:after="0"/>
            <w:jc w:val="left"/>
          </w:pPr>
          <w:r>
            <w:rPr>
              <w:rFonts w:ascii="Manrope" w:hAnsi="Manrope"/>
              <w:b/>
              <w:color w:val="01373D"/>
              <w:sz w:val="19"/>
            </w:rPr>
            <w:t xml:space="preserve">  Connecting Businesses</w:t>
            <w:br/>
            <w:t xml:space="preserve">  with Opportunities</w:t>
          </w:r>
        </w:p>
      </w:tc>
      <w:tc>
        <w:tcPr>
          <w:tcW w:type="dxa" w:w="2981"/>
          <w:tcBorders>
            <w:top w:val="none"/>
            <w:left w:val="none"/>
            <w:bottom w:val="none"/>
            <w:right w:val="none"/>
          </w:tcBorders>
        </w:tcPr>
        <w:p>
          <w:pPr>
            <w:spacing w:before="160" w:after="0"/>
            <w:jc w:val="right"/>
          </w:pPr>
          <w:r>
            <w:rPr>
              <w:rFonts w:ascii="Manrope" w:hAnsi="Manrope"/>
              <w:color w:val="464D53"/>
              <w:sz w:val="18"/>
            </w:rPr>
            <w:t>info@tresconglobal.com</w:t>
            <w:br/>
          </w:r>
          <w:r>
            <w:rPr>
              <w:rFonts w:ascii="Manrope" w:hAnsi="Manrope"/>
              <w:b/>
              <w:color w:val="00A5A3"/>
              <w:sz w:val="18"/>
            </w:rPr>
            <w:t>tresconglobal.com</w:t>
          </w:r>
        </w:p>
      </w:tc>
    </w:tr>
  </w:tbl>
  <w:p>
    <w:pPr>
      <w:spacing w:before="12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