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587"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pBdr>
        <w:top w:val="single" w:sz="12" w:space="1" w:color="00A896"/>
      </w:pBdr>
    </w:pPr>
  </w:p>
  <w:p>
    <w:r>
      <w:rPr>
        <w:rFonts w:ascii="Anek Devanagari" w:hAnsi="Anek Devanagari"/>
        <w:b/>
        <w:color w:val="0F4C5C"/>
        <w:sz w:val="20"/>
      </w:rPr>
      <w:t>Trescon Enterprise FZ LLC</w:t>
    </w:r>
  </w:p>
  <w:p>
    <w:r>
      <w:rPr>
        <w:rFonts w:ascii="Manrope" w:hAnsi="Manrope"/>
        <w:color w:val="475569"/>
        <w:sz w:val="17"/>
      </w:rPr>
      <w:t>Office 1004, 10th Floor, Building 4, Dubai Design District (d3), Dubai, UAE</w:t>
      <w:br/>
      <w:t>[License No: 96834]</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00"/>
      <w:pBdr>
        <w:top w:val="single" w:sz="36" w:space="0" w:color="053B3F"/>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80"/>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12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