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40"/>
        <w:jc w:val="center"/>
      </w:pPr>
      <w:r>
        <w:rPr>
          <w:rFonts w:ascii="Times New Roman" w:hAnsi="Times New Roman" w:cs="Times New Roman"/>
          <w:b/>
          <w:i w:val="0"/>
          <w:sz w:val="28"/>
        </w:rPr>
        <w:t>BAB IV</w:t>
      </w:r>
    </w:p>
    <w:p>
      <w:pPr>
        <w:spacing w:after="360"/>
        <w:ind w:firstLine="0"/>
        <w:jc w:val="center"/>
      </w:pPr>
      <w:r>
        <w:rPr>
          <w:rFonts w:ascii="Times New Roman" w:hAnsi="Times New Roman" w:cs="Times New Roman"/>
          <w:b/>
          <w:i w:val="0"/>
          <w:sz w:val="28"/>
        </w:rPr>
        <w:t>HASIL DAN PEMBAHASAN</w:t>
      </w:r>
    </w:p>
    <w:p>
      <w:pPr>
        <w:spacing w:before="240" w:after="120"/>
        <w:ind w:firstLine="0"/>
        <w:jc w:val="left"/>
      </w:pPr>
      <w:r>
        <w:rPr>
          <w:rFonts w:ascii="Times New Roman" w:hAnsi="Times New Roman" w:cs="Times New Roman"/>
          <w:b/>
          <w:i w:val="0"/>
          <w:sz w:val="24"/>
        </w:rPr>
        <w:t>A. Validitas Dataset dan Kesepakatan Inter-Annotator</w:t>
      </w:r>
    </w:p>
    <w:p>
      <w:pPr>
        <w:spacing w:after="120" w:line="360" w:lineRule="auto"/>
        <w:ind w:firstLine="720"/>
        <w:jc w:val="both"/>
      </w:pPr>
      <w:r>
        <w:rPr>
          <w:rFonts w:ascii="Times New Roman" w:hAnsi="Times New Roman" w:cs="Times New Roman"/>
          <w:b w:val="0"/>
          <w:i w:val="0"/>
          <w:sz w:val="24"/>
        </w:rPr>
        <w:t>Sebelum memasuki tahap klasifikasi, reliabilitas dari dataset yang dianotasi secara mandiri dievaluasi menggunakan koefisien Cohen’s Kappa (κ) untuk mengukur tingkat kesepakatan antara dua annotator independen. Proses anotasi data mentah ini menghasilkan skor kesepakatan awal sebesar 0,84, yang berdasarkan kriteria Landis dan Koch diklasifikasikan ke dalam tingkat reliabilitas “Sangat Baik” atau “Hampir Sempurna”. Untuk menghilangkan bias residu, baris data yang memiliki perbedaan label opini antar-annotator disaring secara sistematis, sehingga menghasilkan satu kesatuan Dataset Kesepakatan yang memiliki validitas tinggi untuk digunakan pada fase eksperimen kodingan model.</w:t>
      </w:r>
    </w:p>
    <w:p>
      <w:pPr>
        <w:spacing w:before="240" w:after="120"/>
        <w:ind w:firstLine="0"/>
        <w:jc w:val="left"/>
      </w:pPr>
      <w:r>
        <w:rPr>
          <w:rFonts w:ascii="Times New Roman" w:hAnsi="Times New Roman" w:cs="Times New Roman"/>
          <w:b/>
          <w:i w:val="0"/>
          <w:sz w:val="24"/>
        </w:rPr>
        <w:t>B. Perbandingan Performa Klasifikasi Secara Menyeluruh</w:t>
      </w:r>
    </w:p>
    <w:p>
      <w:pPr>
        <w:spacing w:after="120" w:line="360" w:lineRule="auto"/>
        <w:ind w:firstLine="720"/>
        <w:jc w:val="both"/>
      </w:pPr>
      <w:r>
        <w:rPr>
          <w:rFonts w:ascii="Times New Roman" w:hAnsi="Times New Roman" w:cs="Times New Roman"/>
          <w:b w:val="0"/>
          <w:i w:val="0"/>
          <w:sz w:val="24"/>
        </w:rPr>
        <w:t>Performa dari beberapa arsitektur machine learning dan deep learning diuji secara komparatif menggunakan fitur token teks yang telah melalui proses stemming Sastrawi. Eksperimen ini dikombinasikan dengan berbagai teknik penyeimbangan data (data-balancing) untuk mengatasi ketimpangan kelas. Tabel I di bawah ini merangkum metrik evaluasi yang berfokus pada nilai akurasi dan macro-averaged F1-score.</w:t>
      </w:r>
    </w:p>
    <w:p>
      <w:pPr>
        <w:spacing w:before="160" w:after="80"/>
        <w:ind w:firstLine="0"/>
        <w:jc w:val="center"/>
      </w:pPr>
      <w:r>
        <w:rPr>
          <w:rFonts w:ascii="Times New Roman" w:hAnsi="Times New Roman" w:cs="Times New Roman"/>
          <w:b/>
          <w:i/>
          <w:sz w:val="22"/>
        </w:rPr>
        <w:t>TABEL I: Matriks Evaluasi Performa Model Klasifikasi Sastrawi</w:t>
      </w:r>
    </w:p>
    <w:tbl>
      <w:tblPr>
        <w:tblW w:type="auto" w:w="0"/>
        <w:jc w:val="center"/>
        <w:tblLayout w:type="autofit"/>
        <w:tblLook w:firstColumn="1" w:firstRow="1" w:lastColumn="0" w:lastRow="0" w:noHBand="0" w:noVBand="1" w:val="04A0"/>
        <w:tblBorders>
          <w:top w:val="single" w:sz="6" w:color="000000"/>
          <w:left w:val="single" w:sz="6" w:color="000000"/>
          <w:bottom w:val="single" w:sz="6" w:color="000000"/>
          <w:right w:val="single" w:sz="6" w:color="000000"/>
          <w:insideH w:val="single" w:sz="6" w:color="000000"/>
          <w:insideV w:val="single" w:sz="6" w:color="000000"/>
        </w:tblBorders>
      </w:tblPr>
      <w:tblGrid>
        <w:gridCol w:w="2161"/>
        <w:gridCol w:w="2161"/>
        <w:gridCol w:w="2161"/>
        <w:gridCol w:w="2161"/>
      </w:tblGrid>
      <w:tr>
        <w:tc>
          <w:tcPr>
            <w:tcW w:type="dxa" w:w="2161"/>
            <w:vAlign w:val="center"/>
            <w:shd w:val="clear" w:color="auto" w:fill="D9E2F3"/>
          </w:tcPr>
          <w:p>
            <w:pPr>
              <w:spacing w:after="0"/>
              <w:ind w:firstLine="0"/>
              <w:jc w:val="center"/>
            </w:pPr>
            <w:r>
              <w:rPr>
                <w:rFonts w:ascii="Times New Roman" w:hAnsi="Times New Roman" w:cs="Times New Roman"/>
                <w:b/>
                <w:i w:val="0"/>
                <w:sz w:val="22"/>
              </w:rPr>
              <w:t>Arsitektur Model</w:t>
            </w:r>
          </w:p>
        </w:tc>
        <w:tc>
          <w:tcPr>
            <w:tcW w:type="dxa" w:w="2161"/>
            <w:vAlign w:val="center"/>
            <w:shd w:val="clear" w:color="auto" w:fill="D9E2F3"/>
          </w:tcPr>
          <w:p>
            <w:pPr>
              <w:spacing w:after="0"/>
              <w:ind w:firstLine="0"/>
              <w:jc w:val="center"/>
            </w:pPr>
            <w:r>
              <w:rPr>
                <w:rFonts w:ascii="Times New Roman" w:hAnsi="Times New Roman" w:cs="Times New Roman"/>
                <w:b/>
                <w:i w:val="0"/>
                <w:sz w:val="22"/>
              </w:rPr>
              <w:t>Teknik Balancing</w:t>
            </w:r>
          </w:p>
        </w:tc>
        <w:tc>
          <w:tcPr>
            <w:tcW w:type="dxa" w:w="2161"/>
            <w:vAlign w:val="center"/>
            <w:shd w:val="clear" w:color="auto" w:fill="D9E2F3"/>
          </w:tcPr>
          <w:p>
            <w:pPr>
              <w:spacing w:after="0"/>
              <w:ind w:firstLine="0"/>
              <w:jc w:val="center"/>
            </w:pPr>
            <w:r>
              <w:rPr>
                <w:rFonts w:ascii="Times New Roman" w:hAnsi="Times New Roman" w:cs="Times New Roman"/>
                <w:b/>
                <w:i w:val="0"/>
                <w:sz w:val="22"/>
              </w:rPr>
              <w:t>Akurasi (%)</w:t>
            </w:r>
          </w:p>
        </w:tc>
        <w:tc>
          <w:tcPr>
            <w:tcW w:type="dxa" w:w="2161"/>
            <w:vAlign w:val="center"/>
            <w:shd w:val="clear" w:color="auto" w:fill="D9E2F3"/>
          </w:tcPr>
          <w:p>
            <w:pPr>
              <w:spacing w:after="0"/>
              <w:ind w:firstLine="0"/>
              <w:jc w:val="center"/>
            </w:pPr>
            <w:r>
              <w:rPr>
                <w:rFonts w:ascii="Times New Roman" w:hAnsi="Times New Roman" w:cs="Times New Roman"/>
                <w:b/>
                <w:i w:val="0"/>
                <w:sz w:val="22"/>
              </w:rPr>
              <w:t>Macro F1-Score</w:t>
            </w:r>
          </w:p>
        </w:tc>
      </w:tr>
      <w:tr>
        <w:tc>
          <w:tcPr>
            <w:tcW w:type="dxa" w:w="2161"/>
            <w:vAlign w:val="center"/>
          </w:tcPr>
          <w:p>
            <w:pPr>
              <w:spacing w:after="0"/>
              <w:ind w:firstLine="0"/>
              <w:jc w:val="center"/>
            </w:pPr>
            <w:r>
              <w:rPr>
                <w:rFonts w:ascii="Times New Roman" w:hAnsi="Times New Roman" w:cs="Times New Roman"/>
                <w:b w:val="0"/>
                <w:i w:val="0"/>
                <w:sz w:val="22"/>
              </w:rPr>
              <w:t>Random Forest</w:t>
            </w:r>
          </w:p>
        </w:tc>
        <w:tc>
          <w:tcPr>
            <w:tcW w:type="dxa" w:w="2161"/>
            <w:vAlign w:val="center"/>
          </w:tcPr>
          <w:p>
            <w:pPr>
              <w:spacing w:after="0"/>
              <w:ind w:firstLine="0"/>
              <w:jc w:val="center"/>
            </w:pPr>
            <w:r>
              <w:rPr>
                <w:rFonts w:ascii="Times New Roman" w:hAnsi="Times New Roman" w:cs="Times New Roman"/>
                <w:b w:val="0"/>
                <w:i w:val="0"/>
                <w:sz w:val="22"/>
              </w:rPr>
              <w:t>ROS</w:t>
            </w:r>
          </w:p>
        </w:tc>
        <w:tc>
          <w:tcPr>
            <w:tcW w:type="dxa" w:w="2161"/>
            <w:vAlign w:val="center"/>
          </w:tcPr>
          <w:p>
            <w:pPr>
              <w:spacing w:after="0"/>
              <w:ind w:firstLine="0"/>
              <w:jc w:val="center"/>
            </w:pPr>
            <w:r>
              <w:rPr>
                <w:rFonts w:ascii="Times New Roman" w:hAnsi="Times New Roman" w:cs="Times New Roman"/>
                <w:b w:val="0"/>
                <w:i w:val="0"/>
                <w:sz w:val="22"/>
              </w:rPr>
              <w:t>85,12%</w:t>
            </w:r>
          </w:p>
        </w:tc>
        <w:tc>
          <w:tcPr>
            <w:tcW w:type="dxa" w:w="2161"/>
            <w:vAlign w:val="center"/>
          </w:tcPr>
          <w:p>
            <w:pPr>
              <w:spacing w:after="0"/>
              <w:ind w:firstLine="0"/>
              <w:jc w:val="center"/>
            </w:pPr>
            <w:r>
              <w:rPr>
                <w:rFonts w:ascii="Times New Roman" w:hAnsi="Times New Roman" w:cs="Times New Roman"/>
                <w:b w:val="0"/>
                <w:i w:val="0"/>
                <w:sz w:val="22"/>
              </w:rPr>
              <w:t>0,8418</w:t>
            </w:r>
          </w:p>
        </w:tc>
      </w:tr>
      <w:tr>
        <w:tc>
          <w:tcPr>
            <w:tcW w:type="dxa" w:w="2161"/>
            <w:vAlign w:val="center"/>
          </w:tcPr>
          <w:p>
            <w:pPr>
              <w:spacing w:after="0"/>
              <w:ind w:firstLine="0"/>
              <w:jc w:val="center"/>
            </w:pPr>
            <w:r>
              <w:rPr>
                <w:rFonts w:ascii="Times New Roman" w:hAnsi="Times New Roman" w:cs="Times New Roman"/>
                <w:b w:val="0"/>
                <w:i w:val="0"/>
                <w:sz w:val="22"/>
              </w:rPr>
              <w:t>SVM</w:t>
            </w:r>
          </w:p>
        </w:tc>
        <w:tc>
          <w:tcPr>
            <w:tcW w:type="dxa" w:w="2161"/>
            <w:vAlign w:val="center"/>
          </w:tcPr>
          <w:p>
            <w:pPr>
              <w:spacing w:after="0"/>
              <w:ind w:firstLine="0"/>
              <w:jc w:val="center"/>
            </w:pPr>
            <w:r>
              <w:rPr>
                <w:rFonts w:ascii="Times New Roman" w:hAnsi="Times New Roman" w:cs="Times New Roman"/>
                <w:b w:val="0"/>
                <w:i w:val="0"/>
                <w:sz w:val="22"/>
              </w:rPr>
              <w:t>ROS</w:t>
            </w:r>
          </w:p>
        </w:tc>
        <w:tc>
          <w:tcPr>
            <w:tcW w:type="dxa" w:w="2161"/>
            <w:vAlign w:val="center"/>
          </w:tcPr>
          <w:p>
            <w:pPr>
              <w:spacing w:after="0"/>
              <w:ind w:firstLine="0"/>
              <w:jc w:val="center"/>
            </w:pPr>
            <w:r>
              <w:rPr>
                <w:rFonts w:ascii="Times New Roman" w:hAnsi="Times New Roman" w:cs="Times New Roman"/>
                <w:b w:val="0"/>
                <w:i w:val="0"/>
                <w:sz w:val="22"/>
              </w:rPr>
              <w:t>85,12%</w:t>
            </w:r>
          </w:p>
        </w:tc>
        <w:tc>
          <w:tcPr>
            <w:tcW w:type="dxa" w:w="2161"/>
            <w:vAlign w:val="center"/>
          </w:tcPr>
          <w:p>
            <w:pPr>
              <w:spacing w:after="0"/>
              <w:ind w:firstLine="0"/>
              <w:jc w:val="center"/>
            </w:pPr>
            <w:r>
              <w:rPr>
                <w:rFonts w:ascii="Times New Roman" w:hAnsi="Times New Roman" w:cs="Times New Roman"/>
                <w:b w:val="0"/>
                <w:i w:val="0"/>
                <w:sz w:val="22"/>
              </w:rPr>
              <w:t>0,8415</w:t>
            </w:r>
          </w:p>
        </w:tc>
      </w:tr>
      <w:tr>
        <w:tc>
          <w:tcPr>
            <w:tcW w:type="dxa" w:w="2161"/>
            <w:vAlign w:val="center"/>
          </w:tcPr>
          <w:p>
            <w:pPr>
              <w:spacing w:after="0"/>
              <w:ind w:firstLine="0"/>
              <w:jc w:val="center"/>
            </w:pPr>
            <w:r>
              <w:rPr>
                <w:rFonts w:ascii="Times New Roman" w:hAnsi="Times New Roman" w:cs="Times New Roman"/>
                <w:b w:val="0"/>
                <w:i w:val="0"/>
                <w:sz w:val="22"/>
              </w:rPr>
              <w:t>MLP Baseline</w:t>
            </w:r>
          </w:p>
        </w:tc>
        <w:tc>
          <w:tcPr>
            <w:tcW w:type="dxa" w:w="2161"/>
            <w:vAlign w:val="center"/>
          </w:tcPr>
          <w:p>
            <w:pPr>
              <w:spacing w:after="0"/>
              <w:ind w:firstLine="0"/>
              <w:jc w:val="center"/>
            </w:pPr>
            <w:r>
              <w:rPr>
                <w:rFonts w:ascii="Times New Roman" w:hAnsi="Times New Roman" w:cs="Times New Roman"/>
                <w:b w:val="0"/>
                <w:i w:val="0"/>
                <w:sz w:val="22"/>
              </w:rPr>
              <w:t>ROS</w:t>
            </w:r>
          </w:p>
        </w:tc>
        <w:tc>
          <w:tcPr>
            <w:tcW w:type="dxa" w:w="2161"/>
            <w:vAlign w:val="center"/>
          </w:tcPr>
          <w:p>
            <w:pPr>
              <w:spacing w:after="0"/>
              <w:ind w:firstLine="0"/>
              <w:jc w:val="center"/>
            </w:pPr>
            <w:r>
              <w:rPr>
                <w:rFonts w:ascii="Times New Roman" w:hAnsi="Times New Roman" w:cs="Times New Roman"/>
                <w:b w:val="0"/>
                <w:i w:val="0"/>
                <w:sz w:val="22"/>
              </w:rPr>
              <w:t>85,05%</w:t>
            </w:r>
          </w:p>
        </w:tc>
        <w:tc>
          <w:tcPr>
            <w:tcW w:type="dxa" w:w="2161"/>
            <w:vAlign w:val="center"/>
          </w:tcPr>
          <w:p>
            <w:pPr>
              <w:spacing w:after="0"/>
              <w:ind w:firstLine="0"/>
              <w:jc w:val="center"/>
            </w:pPr>
            <w:r>
              <w:rPr>
                <w:rFonts w:ascii="Times New Roman" w:hAnsi="Times New Roman" w:cs="Times New Roman"/>
                <w:b w:val="0"/>
                <w:i w:val="0"/>
                <w:sz w:val="22"/>
              </w:rPr>
              <w:t>0,8418</w:t>
            </w:r>
          </w:p>
        </w:tc>
      </w:tr>
      <w:tr>
        <w:tc>
          <w:tcPr>
            <w:tcW w:type="dxa" w:w="2161"/>
            <w:vAlign w:val="center"/>
          </w:tcPr>
          <w:p>
            <w:pPr>
              <w:spacing w:after="0"/>
              <w:ind w:firstLine="0"/>
              <w:jc w:val="center"/>
            </w:pPr>
            <w:r>
              <w:rPr>
                <w:rFonts w:ascii="Times New Roman" w:hAnsi="Times New Roman" w:cs="Times New Roman"/>
                <w:b w:val="0"/>
                <w:i w:val="0"/>
                <w:sz w:val="22"/>
              </w:rPr>
              <w:t>Naive Bayes</w:t>
            </w:r>
          </w:p>
        </w:tc>
        <w:tc>
          <w:tcPr>
            <w:tcW w:type="dxa" w:w="2161"/>
            <w:vAlign w:val="center"/>
          </w:tcPr>
          <w:p>
            <w:pPr>
              <w:spacing w:after="0"/>
              <w:ind w:firstLine="0"/>
              <w:jc w:val="center"/>
            </w:pPr>
            <w:r>
              <w:rPr>
                <w:rFonts w:ascii="Times New Roman" w:hAnsi="Times New Roman" w:cs="Times New Roman"/>
                <w:b w:val="0"/>
                <w:i w:val="0"/>
                <w:sz w:val="22"/>
              </w:rPr>
              <w:t>ROS</w:t>
            </w:r>
          </w:p>
        </w:tc>
        <w:tc>
          <w:tcPr>
            <w:tcW w:type="dxa" w:w="2161"/>
            <w:vAlign w:val="center"/>
          </w:tcPr>
          <w:p>
            <w:pPr>
              <w:spacing w:after="0"/>
              <w:ind w:firstLine="0"/>
              <w:jc w:val="center"/>
            </w:pPr>
            <w:r>
              <w:rPr>
                <w:rFonts w:ascii="Times New Roman" w:hAnsi="Times New Roman" w:cs="Times New Roman"/>
                <w:b w:val="0"/>
                <w:i w:val="0"/>
                <w:sz w:val="22"/>
              </w:rPr>
              <w:t>78,43%</w:t>
            </w:r>
          </w:p>
        </w:tc>
        <w:tc>
          <w:tcPr>
            <w:tcW w:type="dxa" w:w="2161"/>
            <w:vAlign w:val="center"/>
          </w:tcPr>
          <w:p>
            <w:pPr>
              <w:spacing w:after="0"/>
              <w:ind w:firstLine="0"/>
              <w:jc w:val="center"/>
            </w:pPr>
            <w:r>
              <w:rPr>
                <w:rFonts w:ascii="Times New Roman" w:hAnsi="Times New Roman" w:cs="Times New Roman"/>
                <w:b w:val="0"/>
                <w:i w:val="0"/>
                <w:sz w:val="22"/>
              </w:rPr>
              <w:t>0,7650</w:t>
            </w:r>
          </w:p>
        </w:tc>
      </w:tr>
      <w:tr>
        <w:tc>
          <w:tcPr>
            <w:tcW w:type="dxa" w:w="2161"/>
            <w:vAlign w:val="center"/>
          </w:tcPr>
          <w:p>
            <w:pPr>
              <w:spacing w:after="0"/>
              <w:ind w:firstLine="0"/>
              <w:jc w:val="center"/>
            </w:pPr>
            <w:r>
              <w:rPr>
                <w:rFonts w:ascii="Times New Roman" w:hAnsi="Times New Roman" w:cs="Times New Roman"/>
                <w:b w:val="0"/>
                <w:i w:val="0"/>
                <w:sz w:val="22"/>
              </w:rPr>
              <w:t>MLP Keras Tuner</w:t>
            </w:r>
          </w:p>
        </w:tc>
        <w:tc>
          <w:tcPr>
            <w:tcW w:type="dxa" w:w="2161"/>
            <w:vAlign w:val="center"/>
          </w:tcPr>
          <w:p>
            <w:pPr>
              <w:spacing w:after="0"/>
              <w:ind w:firstLine="0"/>
              <w:jc w:val="center"/>
            </w:pPr>
            <w:r>
              <w:rPr>
                <w:rFonts w:ascii="Times New Roman" w:hAnsi="Times New Roman" w:cs="Times New Roman"/>
                <w:b w:val="0"/>
                <w:i w:val="0"/>
                <w:sz w:val="22"/>
              </w:rPr>
              <w:t>RUS</w:t>
            </w:r>
          </w:p>
        </w:tc>
        <w:tc>
          <w:tcPr>
            <w:tcW w:type="dxa" w:w="2161"/>
            <w:vAlign w:val="center"/>
          </w:tcPr>
          <w:p>
            <w:pPr>
              <w:spacing w:after="0"/>
              <w:ind w:firstLine="0"/>
              <w:jc w:val="center"/>
            </w:pPr>
            <w:r>
              <w:rPr>
                <w:rFonts w:ascii="Times New Roman" w:hAnsi="Times New Roman" w:cs="Times New Roman"/>
                <w:b w:val="0"/>
                <w:i w:val="0"/>
                <w:sz w:val="22"/>
              </w:rPr>
              <w:t>24,88%</w:t>
            </w:r>
          </w:p>
        </w:tc>
        <w:tc>
          <w:tcPr>
            <w:tcW w:type="dxa" w:w="2161"/>
            <w:vAlign w:val="center"/>
          </w:tcPr>
          <w:p>
            <w:pPr>
              <w:spacing w:after="0"/>
              <w:ind w:firstLine="0"/>
              <w:jc w:val="center"/>
            </w:pPr>
            <w:r>
              <w:rPr>
                <w:rFonts w:ascii="Times New Roman" w:hAnsi="Times New Roman" w:cs="Times New Roman"/>
                <w:b w:val="0"/>
                <w:i w:val="0"/>
                <w:sz w:val="22"/>
              </w:rPr>
              <w:t>0,1328</w:t>
            </w:r>
          </w:p>
        </w:tc>
      </w:tr>
    </w:tbl>
    <w:p>
      <w:pPr>
        <w:spacing w:after="120" w:line="360" w:lineRule="auto"/>
        <w:ind w:firstLine="720"/>
        <w:jc w:val="both"/>
      </w:pPr>
      <w:r>
        <w:rPr>
          <w:rFonts w:ascii="Times New Roman" w:hAnsi="Times New Roman" w:cs="Times New Roman"/>
          <w:b w:val="0"/>
          <w:i w:val="0"/>
          <w:sz w:val="24"/>
        </w:rPr>
        <w:t>Berdasarkan data pada Tabel I, algoritma Random Forest dan Support Vector Machine (SVM) yang dioptimalkan dengan teknik Random Over-Sampling (ROS) berhasil mencatatkan performa puncak dengan nilai akurasi tertinggi sebesar 85,12%. Pencapaian performa ini terbukti sukses melampaui batas ambang kesepakatan inter-annotator awal (85,12% &gt; 84%). Hal tersebut secara ilmiah memvalidasi bahwa reduksi variasi morfologi kata melalui stemming Sastrawi efektif membantu model dalam memetakan bobot fitur TF-IDF secara lebih konsisten.</w:t>
      </w:r>
    </w:p>
    <w:p>
      <w:pPr>
        <w:spacing w:before="240" w:after="120"/>
        <w:ind w:firstLine="0"/>
        <w:jc w:val="left"/>
      </w:pPr>
      <w:r>
        <w:rPr>
          <w:rFonts w:ascii="Times New Roman" w:hAnsi="Times New Roman" w:cs="Times New Roman"/>
          <w:b/>
          <w:i w:val="0"/>
          <w:sz w:val="24"/>
        </w:rPr>
        <w:t>C. Analisis Komparatif Gambar Confusion Matrix</w:t>
      </w:r>
    </w:p>
    <w:p>
      <w:pPr>
        <w:spacing w:after="120" w:line="360" w:lineRule="auto"/>
        <w:ind w:firstLine="720"/>
        <w:jc w:val="both"/>
      </w:pPr>
      <w:r>
        <w:rPr>
          <w:rFonts w:ascii="Times New Roman" w:hAnsi="Times New Roman" w:cs="Times New Roman"/>
          <w:b w:val="0"/>
          <w:i w:val="0"/>
          <w:sz w:val="24"/>
        </w:rPr>
        <w:t>Meskipun Random Forest dan SVM menghasilkan angka akurasi global yang identik (85,12%), visualisasi matriks kontingensi pada grafik Confusion Matrix milik kedua model menunjukkan karakteristik prediksi internal yang sangat bertolak belakang:</w:t>
      </w:r>
    </w:p>
    <w:p>
      <w:pPr>
        <w:pStyle w:val="ListBullet"/>
        <w:spacing w:after="120" w:line="360" w:lineRule="auto"/>
        <w:ind w:left="1003" w:hanging="283"/>
        <w:jc w:val="both"/>
      </w:pPr>
      <w:r>
        <w:rPr>
          <w:rFonts w:ascii="Times New Roman" w:hAnsi="Times New Roman" w:cs="Times New Roman"/>
          <w:b/>
          <w:i w:val="0"/>
          <w:sz w:val="24"/>
        </w:rPr>
        <w:t xml:space="preserve">Model Random Forest + ROS: </w:t>
      </w:r>
      <w:r>
        <w:rPr>
          <w:rFonts w:ascii="Times New Roman" w:hAnsi="Times New Roman" w:cs="Times New Roman"/>
          <w:b w:val="0"/>
          <w:i w:val="0"/>
          <w:sz w:val="24"/>
        </w:rPr>
        <w:t>Model ini menunjukkan akurasi tebakan yang sangat dominan pada kelas mayoritas, dengan berhasil mengklasifikasikan 89,27% (4.276 sampel) data sentimen Negatif secara tepat. Kendati demikian, model ini mengalami bias ekstrem pada kelas minoritas, di mana ia hanya mampu menebak 23,81% (25 sampel) pada sentimen Positif, dan justru sering terkecoh memprediksinya sebagai sentimen Negatif (58,10%).</w:t>
      </w:r>
    </w:p>
    <w:p>
      <w:pPr>
        <w:pStyle w:val="ListBullet"/>
        <w:spacing w:after="120" w:line="360" w:lineRule="auto"/>
        <w:ind w:left="1003" w:hanging="283"/>
        <w:jc w:val="both"/>
      </w:pPr>
      <w:r>
        <w:rPr>
          <w:rFonts w:ascii="Times New Roman" w:hAnsi="Times New Roman" w:cs="Times New Roman"/>
          <w:b/>
          <w:i w:val="0"/>
          <w:sz w:val="24"/>
        </w:rPr>
        <w:t xml:space="preserve">Model SVM + ROS: </w:t>
      </w:r>
      <w:r>
        <w:rPr>
          <w:rFonts w:ascii="Times New Roman" w:hAnsi="Times New Roman" w:cs="Times New Roman"/>
          <w:b w:val="0"/>
          <w:i w:val="0"/>
          <w:sz w:val="24"/>
        </w:rPr>
        <w:t>Sebaliknya, SVM berhasil membangun batas keputusan (hyperplane) yang jauh lebih kokoh dan adil. SVM secara signifikan mampu menekan degradasi prediksi kelas minoritas dengan meraih true positive rate sebesar 48,57% (51 sampel) untuk sentimen Positif, sembari tetap mempertahankan kestabilan akurasi pada kelas Netral (71,88%) dan kelas Negatif (79,90%).</w:t>
      </w:r>
    </w:p>
    <w:p>
      <w:pPr>
        <w:spacing w:before="240" w:after="120"/>
        <w:ind w:firstLine="0"/>
        <w:jc w:val="left"/>
      </w:pPr>
      <w:r>
        <w:rPr>
          <w:rFonts w:ascii="Times New Roman" w:hAnsi="Times New Roman" w:cs="Times New Roman"/>
          <w:b/>
          <w:i w:val="0"/>
          <w:sz w:val="24"/>
        </w:rPr>
        <w:t>D. Evaluasi Daya Diskriminasi Model via Analisis Kurva ROC</w:t>
      </w:r>
    </w:p>
    <w:p>
      <w:pPr>
        <w:spacing w:after="120" w:line="360" w:lineRule="auto"/>
        <w:ind w:firstLine="720"/>
        <w:jc w:val="both"/>
      </w:pPr>
      <w:r>
        <w:rPr>
          <w:rFonts w:ascii="Times New Roman" w:hAnsi="Times New Roman" w:cs="Times New Roman"/>
          <w:b w:val="0"/>
          <w:i w:val="0"/>
          <w:sz w:val="24"/>
        </w:rPr>
        <w:t>Kapasitas model dalam memisahkan probabilitas tiap kelas sentimen diuji lebih lanjut menggunakan grafik kurva Receiver Operating Characteristic (ROC) dan perolehan nilai AUC (Area Under Curve):</w:t>
      </w:r>
    </w:p>
    <w:p>
      <w:pPr>
        <w:pStyle w:val="ListBullet"/>
        <w:spacing w:after="120" w:line="360" w:lineRule="auto"/>
        <w:ind w:left="1003" w:hanging="283"/>
        <w:jc w:val="both"/>
      </w:pPr>
      <w:r>
        <w:rPr>
          <w:rFonts w:ascii="Times New Roman" w:hAnsi="Times New Roman" w:cs="Times New Roman"/>
          <w:b/>
          <w:i w:val="0"/>
          <w:sz w:val="24"/>
        </w:rPr>
        <w:t xml:space="preserve">Kurva ROC Random Forest: </w:t>
      </w:r>
      <w:r>
        <w:rPr>
          <w:rFonts w:ascii="Times New Roman" w:hAnsi="Times New Roman" w:cs="Times New Roman"/>
          <w:b w:val="0"/>
          <w:i w:val="0"/>
          <w:sz w:val="24"/>
        </w:rPr>
        <w:t>Model ini menghasilkan daya diskriminasi yang fluktuatif antar kelas, di mana kemampuan pemisahan tertingginya berada pada kelas Netral (AUC = 0,880), namun mengalami penurunan pada kelas Positif (AUC = 0,826).</w:t>
      </w:r>
    </w:p>
    <w:p>
      <w:pPr>
        <w:pStyle w:val="ListBullet"/>
        <w:spacing w:after="120" w:line="360" w:lineRule="auto"/>
        <w:ind w:left="1003" w:hanging="283"/>
        <w:jc w:val="both"/>
      </w:pPr>
      <w:r>
        <w:rPr>
          <w:rFonts w:ascii="Times New Roman" w:hAnsi="Times New Roman" w:cs="Times New Roman"/>
          <w:b/>
          <w:i w:val="0"/>
          <w:sz w:val="24"/>
        </w:rPr>
        <w:t xml:space="preserve">Kurva ROC SVM: </w:t>
      </w:r>
      <w:r>
        <w:rPr>
          <w:rFonts w:ascii="Times New Roman" w:hAnsi="Times New Roman" w:cs="Times New Roman"/>
          <w:b w:val="0"/>
          <w:i w:val="0"/>
          <w:sz w:val="24"/>
        </w:rPr>
        <w:t>Berbeda dengan Random Forest, model SVM memamerkan kemampuan pemisahan kelas yang sangat stabil dan merata di seluruh dimensi semantik, yaitu kelas Negatif (AUC = 0,846), kelas Netral (AUC = 0,846), dan kelas Positif (AUC = 0,856).</w:t>
      </w:r>
    </w:p>
    <w:p>
      <w:pPr>
        <w:spacing w:after="120" w:line="360" w:lineRule="auto"/>
        <w:ind w:firstLine="720"/>
        <w:jc w:val="both"/>
      </w:pPr>
      <w:r>
        <w:rPr>
          <w:rFonts w:ascii="Times New Roman" w:hAnsi="Times New Roman" w:cs="Times New Roman"/>
          <w:b w:val="0"/>
          <w:i w:val="0"/>
          <w:sz w:val="24"/>
        </w:rPr>
        <w:t>Fakta bahwa SVM menghasilkan nilai AUC tertinggi justru pada kelas minoritas Positif (0,856) membuktikan keunggulan generalisasi matematisnya dalam menangani distribusi data teks Twitter yang timpang. Dengan demikian, SVM + ROS menjadi model yang paling direkomendasikan untuk diimplementasikan pada tugas analisis sentimen ini.</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