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078C1"/>
          <w:sz w:val="30"/>
          <w:szCs w:val="30"/>
        </w:rPr>
        <w:t xml:space="preserve">MICROGENESIS</w:t>
      </w:r>
    </w:p>
    <w:p>
      <w:pPr>
        <w:spacing w:after="600"/>
        <w:jc w:val="center"/>
      </w:pPr>
      <w:r>
        <w:rPr>
          <w:b/>
          <w:bCs/>
          <w:color w:val="1F3864"/>
          <w:sz w:val="56"/>
          <w:szCs w:val="56"/>
        </w:rPr>
        <w:t xml:space="preserve">Supply Chain Portal</w:t>
      </w:r>
    </w:p>
    <w:p>
      <w:pPr>
        <w:spacing w:after="1600"/>
        <w:jc w:val="center"/>
      </w:pPr>
      <w:r>
        <w:rPr>
          <w:color w:val="595959"/>
          <w:sz w:val="32"/>
          <w:szCs w:val="32"/>
        </w:rPr>
        <w:t xml:space="preserve">Project Documentation</w:t>
      </w:r>
    </w:p>
    <w:p>
      <w:pPr>
        <w:spacing w:after="100"/>
        <w:jc w:val="center"/>
      </w:pPr>
      <w:r>
        <w:t>A full-stack replacement for Microgenesis's SharePoint-based delivery tracker, with Microsoft Azure AD single sign-on, real outbound email (Graph/SMTP), and Microsoft Teams tab packaging.</w:t>
      </w:r>
    </w:p>
    <w:p>
      <w:pPr>
        <w:spacing w:before="2400"/>
        <w:jc w:val="center"/>
      </w:pPr>
      <w:r>
        <w:rPr>
          <w:color w:val="595959"/>
          <w:sz w:val="20"/>
          <w:szCs w:val="20"/>
        </w:rPr>
        <w:t xml:space="preserve">Generated from the project repository · August 2026</w:t>
      </w:r>
    </w:p>
    <w:p>
      <w:pPr>
        <w:spacing w:before="400"/>
        <w:jc w:val="center"/>
      </w:pPr>
      <w:r>
        <w:rPr>
          <w:color w:val="595959"/>
          <w:sz w:val="18"/>
          <w:szCs w:val="18"/>
        </w:rPr>
        <w:t xml:space="preserve">See also: GETTING_STARTED.md · DONT_BREAK_THIS.md · docs/GLOSSARY.md · docs/ROLES.md</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Background</w:t>
      </w:r>
    </w:p>
    <w:p>
      <w:pPr>
        <w:spacing w:after="160"/>
      </w:pPr>
      <w:r>
        <w:t xml:space="preserve">The existing AS-IS system is a Microsoft SharePoint List that Microgenesis uses to track deliveries, returns, collections, and pick-ups. This portal replaces it to fix three confirmed pain points — the first two were direct, repeated user complaints, not just an engineering assessment:</w:t>
      </w:r>
    </w:p>
    <w:p>
      <w:pPr>
        <w:pStyle w:val="ListParagraph"/>
        <w:numPr>
          <w:ilvl w:val="0"/>
          <w:numId w:val="2"/>
        </w:numPr>
        <w:spacing w:after="80"/>
      </w:pPr>
      <w:r>
        <w:t>No audit trail — by far the most frequent user complaint. There was no reliable record of who created or last modified an entry. Users repeatedly reported that when a delivery date changed or a status was disputed, there was no way to answer “who did this, and when” without manually asking around the office. See Section 7 for how this is fixed, including the Status Trail export built specifically at Logistics' request.</w:t>
      </w:r>
    </w:p>
    <w:p>
      <w:pPr>
        <w:pStyle w:val="ListParagraph"/>
        <w:numPr>
          <w:ilvl w:val="0"/>
          <w:numId w:val="2"/>
        </w:numPr>
        <w:spacing w:after="80"/>
      </w:pPr>
      <w:r>
        <w:rPr>
          <w:b/>
          <w:bCs/>
        </w:rPr>
        <w:t xml:space="preserve">Free-text data entry. </w:t>
      </w:r>
      <w:r>
        <w:t xml:space="preserve">Manually typed fields like Company Name caused inconsistent, duplicate values that broke filtering and reporting.</w:t>
      </w:r>
    </w:p>
    <w:p>
      <w:pPr>
        <w:pStyle w:val="ListParagraph"/>
        <w:numPr>
          <w:ilvl w:val="0"/>
          <w:numId w:val="2"/>
        </w:numPr>
        <w:spacing w:after="80"/>
      </w:pPr>
      <w:r>
        <w:rPr>
          <w:b/>
          <w:bCs/>
        </w:rPr>
        <w:t xml:space="preserve">A hard record-count ceiling — solved, not just mitigated. </w:t>
      </w:r>
      <w:r>
        <w:t xml:space="preserve">SharePoint's 5,000-item list view threshold caused recurring operational stoppages, requiring a support ticket to keep working. The new portal runs on a real PostgreSQL database with no equivalent item-count ceiling: no 5,000-row wall, no support ticket, and no view that silently stops showing data as the operation grows.</w:t>
      </w:r>
    </w:p>
    <w:p>
      <w:pPr>
        <w:spacing w:after="160"/>
      </w:pPr>
      <w:r>
        <w:t xml:space="preserve">The portal models the business's real data as one unified delivery/task record list, where a category field distinguishes the type of work — Sales Orders, Deliveries, RMA, Accounting Collection, and Procurement Pick-up. Alongside it, the portal includes a real SKU Master / inventory subsystem and master-data directories (Companies, Customers, Suppliers, Drivers).</w:t>
      </w:r>
    </w:p>
    <w:p>
      <w:pPr>
        <w:pStyle w:val="Heading1"/>
        <w:spacing w:after="200" w:before="400"/>
      </w:pPr>
      <w:r>
        <w:t xml:space="preserve">2. System Architecture</w:t>
      </w:r>
    </w:p>
    <w:p>
      <w:pPr>
        <w:spacing w:after="160"/>
      </w:pPr>
      <w:r>
        <w:t xml:space="preserve">The application is split into two independently deployable layers sharing one PostgreSQL database as the source of truth:</w:t>
      </w:r>
    </w:p>
    <w:p>
      <w:pPr>
        <w:pStyle w:val="ListParagraph"/>
        <w:numPr>
          <w:ilvl w:val="0"/>
          <w:numId w:val="2"/>
        </w:numPr>
        <w:spacing w:after="80"/>
      </w:pPr>
      <w:r>
        <w:rPr>
          <w:b/>
          <w:bCs/>
        </w:rPr>
        <w:t xml:space="preserve">Frontend </w:t>
      </w:r>
      <w:r>
        <w:t xml:space="preserve">(React 19 + TypeScript, built with Vite) — a single-page application that fetches and writes data through the backend API. It owns no persistent state of its own.</w:t>
      </w:r>
    </w:p>
    <w:p>
      <w:pPr>
        <w:pStyle w:val="ListParagraph"/>
        <w:numPr>
          <w:ilvl w:val="0"/>
          <w:numId w:val="2"/>
        </w:numPr>
        <w:spacing w:after="80"/>
      </w:pPr>
      <w:r>
        <w:rPr>
          <w:b/>
          <w:bCs/>
        </w:rPr>
        <w:t xml:space="preserve">Backend </w:t>
      </w:r>
      <w:r>
        <w:t xml:space="preserve">(Express + TypeScript + Prisma) — owns all reads/writes to PostgreSQL, all authentication, and all authorization decisions.</w:t>
      </w:r>
    </w:p>
    <w:p>
      <w:pPr>
        <w:spacing w:after="160"/>
      </w:pPr>
      <w:r>
        <w:t xml:space="preserve">This separation exists so authorization cannot be bypassed by talking to the API directly. The frontend's role-scoped navigation is a UX convenience, not a security boundary — every meaningful read or write is re-checked server-side.</w:t>
      </w:r>
    </w:p>
    <w:p>
      <w:pPr>
        <w:pStyle w:val="Heading3"/>
        <w:spacing w:after="100" w:before="200"/>
      </w:pPr>
      <w:r>
        <w:t xml:space="preserve">Scalability</w:t>
      </w:r>
    </w:p>
    <w:p>
      <w:pPr>
        <w:spacing w:after="160"/>
      </w:pPr>
      <w:r>
        <w:t xml:space="preserve">DeliveryRecord is deliberately kept as one wide table with a category discriminator, rather than five separate tables, so cross-category reporting and export don't require unioning multiple schemas. Historical reporting reads from a pre-aggregated DailyStatusSnapshot rollup table instead of scanning the full record table on every load — directly addressing the SharePoint list-threshold failure mode by design.</w:t>
      </w:r>
    </w:p>
    <w:p>
      <w:pPr>
        <w:pStyle w:val="Heading1"/>
        <w:spacing w:after="200" w:before="400"/>
      </w:pPr>
      <w:r>
        <w:t xml:space="preserve">3. Roles &amp; Permissions (RBAC)</w:t>
      </w:r>
    </w:p>
    <w:p>
      <w:pPr>
        <w:spacing w:after="160"/>
      </w:pPr>
      <w:r>
        <w:t xml:space="preserve">Access is real, server-enforced role-based access control tied to a login — the frontend UI reflects the same rules the backend enforces on every request. There are five roles: Sales Coordinator, Logistics, TASS, Admin, and Driver. Each role gets a default set of accessible screens; an Admin can additionally grant or revoke individual screens per user.</w:t>
      </w: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DECEA" w:val="clear"/>
            <w:tcMar>
              <w:top w:type="dxa" w:w="160"/>
              <w:left w:type="dxa" w:w="200"/>
              <w:bottom w:type="dxa" w:w="160"/>
              <w:right w:type="dxa" w:w="200"/>
            </w:tcMar>
          </w:tcPr>
          <w:p>
            <w:pPr>
              <w:spacing w:after="80"/>
            </w:pPr>
            <w:r>
              <w:rPr>
                <w:b/>
                <w:bCs/>
                <w:color w:val="C0392B"/>
              </w:rPr>
              <w:t xml:space="preserve">⚠ TASS role status: PROVISIONAL</w:t>
            </w:r>
          </w:p>
          <w:p>
            <w:r>
              <w:rPr>
                <w:color w:val="333333"/>
              </w:rPr>
              <w:t xml:space="preserve">TASS stands for Technical Admin System Services — not Accounting or Finance. Everything below describing TASS's permissions and workflow is this project's current implementation, based on assumptions made BEFORE a stakeholder meeting with the actual TASS department has happened. None of it should be treated as confirmed requirements.</w:t>
            </w:r>
          </w:p>
        </w:tc>
      </w:tr>
    </w:tbl>
    <w:p>
      <w:pPr>
        <w:spacing w:after="200"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200"/>
        <w:gridCol w:w="4150"/>
      </w:tblGrid>
      <w:tr>
        <w:trPr>
          <w:tblHeader/>
        </w:trPr>
        <w:tc>
          <w:tcPr>
            <w:tcW w:type="dxa" w:w="5200"/>
            <w:shd w:fill="1F3864" w:val="clear"/>
            <w:tcMar>
              <w:top w:type="dxa" w:w="100"/>
              <w:left w:type="dxa" w:w="120"/>
              <w:bottom w:type="dxa" w:w="100"/>
              <w:right w:type="dxa" w:w="120"/>
            </w:tcMar>
            <w:vAlign w:val="center"/>
          </w:tcPr>
          <w:p>
            <w:r>
              <w:rPr>
                <w:b/>
                <w:bCs/>
                <w:color w:val="FFFFFF"/>
                <w:sz w:val="20"/>
                <w:szCs w:val="20"/>
              </w:rPr>
              <w:t xml:space="preserve">Question</w:t>
            </w:r>
          </w:p>
        </w:tc>
        <w:tc>
          <w:tcPr>
            <w:tcW w:type="dxa" w:w="4150"/>
            <w:shd w:fill="1F3864" w:val="clear"/>
            <w:tcMar>
              <w:top w:type="dxa" w:w="100"/>
              <w:left w:type="dxa" w:w="120"/>
              <w:bottom w:type="dxa" w:w="100"/>
              <w:right w:type="dxa" w:w="120"/>
            </w:tcMar>
            <w:vAlign w:val="center"/>
          </w:tcPr>
          <w:p>
            <w:r>
              <w:rPr>
                <w:b/>
                <w:bCs/>
                <w:color w:val="FFFFFF"/>
                <w:sz w:val="20"/>
                <w:szCs w:val="20"/>
              </w:rPr>
              <w:t xml:space="preserve">Status</w:t>
            </w:r>
          </w:p>
        </w:tc>
      </w:tr>
      <w:tr>
        <w:tc>
          <w:tcPr>
            <w:tcW w:type="dxa" w:w="5200"/>
            <w:shd w:fill="FFFFFF" w:val="clear"/>
            <w:tcMar>
              <w:top w:type="dxa" w:w="90"/>
              <w:left w:type="dxa" w:w="120"/>
              <w:bottom w:type="dxa" w:w="90"/>
              <w:right w:type="dxa" w:w="120"/>
            </w:tcMar>
            <w:vAlign w:val="center"/>
          </w:tcPr>
          <w:p>
            <w:r>
              <w:rPr>
                <w:sz w:val="19"/>
                <w:szCs w:val="19"/>
              </w:rPr>
              <w:t xml:space="preserve">Stakeholder meeting with TASS held?</w:t>
            </w:r>
          </w:p>
        </w:tc>
        <w:tc>
          <w:tcPr>
            <w:tcW w:type="dxa" w:w="4150"/>
            <w:shd w:fill="FFFFFF" w:val="clear"/>
            <w:tcMar>
              <w:top w:type="dxa" w:w="90"/>
              <w:left w:type="dxa" w:w="120"/>
              <w:bottom w:type="dxa" w:w="90"/>
              <w:right w:type="dxa" w:w="120"/>
            </w:tcMar>
            <w:vAlign w:val="center"/>
          </w:tcPr>
          <w:p>
            <w:r>
              <w:rPr>
                <w:sz w:val="19"/>
                <w:szCs w:val="19"/>
              </w:rPr>
              <w:t xml:space="preserve">Not yet</w:t>
            </w:r>
          </w:p>
        </w:tc>
      </w:tr>
      <w:tr>
        <w:tc>
          <w:tcPr>
            <w:tcW w:type="dxa" w:w="5200"/>
            <w:shd w:fill="EEF3F8" w:val="clear"/>
            <w:tcMar>
              <w:top w:type="dxa" w:w="90"/>
              <w:left w:type="dxa" w:w="120"/>
              <w:bottom w:type="dxa" w:w="90"/>
              <w:right w:type="dxa" w:w="120"/>
            </w:tcMar>
            <w:vAlign w:val="center"/>
          </w:tcPr>
          <w:p>
            <w:r>
              <w:rPr>
                <w:sz w:val="19"/>
                <w:szCs w:val="19"/>
              </w:rPr>
              <w:t xml:space="preserve">Current permissions confirmed by TASS?</w:t>
            </w:r>
          </w:p>
        </w:tc>
        <w:tc>
          <w:tcPr>
            <w:tcW w:type="dxa" w:w="4150"/>
            <w:shd w:fill="EEF3F8" w:val="clear"/>
            <w:tcMar>
              <w:top w:type="dxa" w:w="90"/>
              <w:left w:type="dxa" w:w="120"/>
              <w:bottom w:type="dxa" w:w="90"/>
              <w:right w:type="dxa" w:w="120"/>
            </w:tcMar>
            <w:vAlign w:val="center"/>
          </w:tcPr>
          <w:p>
            <w:r>
              <w:rPr>
                <w:sz w:val="19"/>
                <w:szCs w:val="19"/>
              </w:rPr>
              <w:t xml:space="preserve">No — implementation is a guess</w:t>
            </w:r>
          </w:p>
        </w:tc>
      </w:tr>
      <w:tr>
        <w:tc>
          <w:tcPr>
            <w:tcW w:type="dxa" w:w="5200"/>
            <w:shd w:fill="FFFFFF" w:val="clear"/>
            <w:tcMar>
              <w:top w:type="dxa" w:w="90"/>
              <w:left w:type="dxa" w:w="120"/>
              <w:bottom w:type="dxa" w:w="90"/>
              <w:right w:type="dxa" w:w="120"/>
            </w:tcMar>
            <w:vAlign w:val="center"/>
          </w:tcPr>
          <w:p>
            <w:r>
              <w:rPr>
                <w:sz w:val="19"/>
                <w:szCs w:val="19"/>
              </w:rPr>
              <w:t xml:space="preserve">Expected to change after validation?</w:t>
            </w:r>
          </w:p>
        </w:tc>
        <w:tc>
          <w:tcPr>
            <w:tcW w:type="dxa" w:w="4150"/>
            <w:shd w:fill="FFFFFF" w:val="clear"/>
            <w:tcMar>
              <w:top w:type="dxa" w:w="90"/>
              <w:left w:type="dxa" w:w="120"/>
              <w:bottom w:type="dxa" w:w="90"/>
              <w:right w:type="dxa" w:w="120"/>
            </w:tcMar>
            <w:vAlign w:val="center"/>
          </w:tcPr>
          <w:p>
            <w:r>
              <w:rPr>
                <w:sz w:val="19"/>
                <w:szCs w:val="19"/>
              </w:rPr>
              <w:t xml:space="preserve">Yes, likely</w:t>
            </w:r>
          </w:p>
        </w:tc>
      </w:tr>
    </w:tbl>
    <w:p>
      <w:pPr>
        <w:spacing w:before="300"/>
      </w:pPr>
    </w:p>
    <w:p>
      <w:pPr>
        <w:spacing w:after="160"/>
      </w:pPr>
      <w:r>
        <w:t xml:space="preserve">If a TASS stakeholder meeting has since happened, update this document and docs/ROLES.md in the repository to match what was actually confirmed.</w:t>
      </w:r>
    </w:p>
    <w:p>
      <w:pPr>
        <w:pStyle w:val="Heading2"/>
        <w:spacing w:after="150" w:before="300"/>
      </w:pPr>
      <w:r>
        <w:t xml:space="preserve">Department Impact / Operational Workflow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50"/>
        <w:gridCol w:w="1350"/>
        <w:gridCol w:w="1350"/>
        <w:gridCol w:w="1350"/>
        <w:gridCol w:w="135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Capability</w:t>
            </w:r>
          </w:p>
        </w:tc>
        <w:tc>
          <w:tcPr>
            <w:tcW w:type="dxa" w:w="1350"/>
            <w:shd w:fill="1F3864" w:val="clear"/>
            <w:tcMar>
              <w:top w:type="dxa" w:w="100"/>
              <w:left w:type="dxa" w:w="120"/>
              <w:bottom w:type="dxa" w:w="100"/>
              <w:right w:type="dxa" w:w="120"/>
            </w:tcMar>
            <w:vAlign w:val="center"/>
          </w:tcPr>
          <w:p>
            <w:r>
              <w:rPr>
                <w:b/>
                <w:bCs/>
                <w:color w:val="FFFFFF"/>
                <w:sz w:val="20"/>
                <w:szCs w:val="20"/>
              </w:rPr>
              <w:t xml:space="preserve">Sales Coord.</w:t>
            </w:r>
          </w:p>
        </w:tc>
        <w:tc>
          <w:tcPr>
            <w:tcW w:type="dxa" w:w="1350"/>
            <w:shd w:fill="1F3864" w:val="clear"/>
            <w:tcMar>
              <w:top w:type="dxa" w:w="100"/>
              <w:left w:type="dxa" w:w="120"/>
              <w:bottom w:type="dxa" w:w="100"/>
              <w:right w:type="dxa" w:w="120"/>
            </w:tcMar>
            <w:vAlign w:val="center"/>
          </w:tcPr>
          <w:p>
            <w:r>
              <w:rPr>
                <w:b/>
                <w:bCs/>
                <w:color w:val="FFFFFF"/>
                <w:sz w:val="20"/>
                <w:szCs w:val="20"/>
              </w:rPr>
              <w:t xml:space="preserve">Logistics</w:t>
            </w:r>
          </w:p>
        </w:tc>
        <w:tc>
          <w:tcPr>
            <w:tcW w:type="dxa" w:w="1350"/>
            <w:shd w:fill="1F3864" w:val="clear"/>
            <w:tcMar>
              <w:top w:type="dxa" w:w="100"/>
              <w:left w:type="dxa" w:w="120"/>
              <w:bottom w:type="dxa" w:w="100"/>
              <w:right w:type="dxa" w:w="120"/>
            </w:tcMar>
            <w:vAlign w:val="center"/>
          </w:tcPr>
          <w:p>
            <w:r>
              <w:rPr>
                <w:b/>
                <w:bCs/>
                <w:color w:val="FFFFFF"/>
                <w:sz w:val="20"/>
                <w:szCs w:val="20"/>
              </w:rPr>
              <w:t xml:space="preserve">TASS*</w:t>
            </w:r>
          </w:p>
        </w:tc>
        <w:tc>
          <w:tcPr>
            <w:tcW w:type="dxa" w:w="1350"/>
            <w:shd w:fill="1F3864" w:val="clear"/>
            <w:tcMar>
              <w:top w:type="dxa" w:w="100"/>
              <w:left w:type="dxa" w:w="120"/>
              <w:bottom w:type="dxa" w:w="100"/>
              <w:right w:type="dxa" w:w="120"/>
            </w:tcMar>
            <w:vAlign w:val="center"/>
          </w:tcPr>
          <w:p>
            <w:r>
              <w:rPr>
                <w:b/>
                <w:bCs/>
                <w:color w:val="FFFFFF"/>
                <w:sz w:val="20"/>
                <w:szCs w:val="20"/>
              </w:rPr>
              <w:t xml:space="preserve">Admin</w:t>
            </w:r>
          </w:p>
        </w:tc>
        <w:tc>
          <w:tcPr>
            <w:tcW w:type="dxa" w:w="1350"/>
            <w:shd w:fill="1F3864" w:val="clear"/>
            <w:tcMar>
              <w:top w:type="dxa" w:w="100"/>
              <w:left w:type="dxa" w:w="120"/>
              <w:bottom w:type="dxa" w:w="100"/>
              <w:right w:type="dxa" w:w="120"/>
            </w:tcMar>
            <w:vAlign w:val="center"/>
          </w:tcPr>
          <w:p>
            <w:r>
              <w:rPr>
                <w:b/>
                <w:bCs/>
                <w:color w:val="FFFFFF"/>
                <w:sz w:val="20"/>
                <w:szCs w:val="20"/>
              </w:rPr>
              <w:t xml:space="preserve">Driver</w:t>
            </w:r>
          </w:p>
        </w:tc>
      </w:tr>
      <w:tr>
        <w:tc>
          <w:tcPr>
            <w:tcW w:type="dxa" w:w="2600"/>
            <w:shd w:fill="FFFFFF" w:val="clear"/>
            <w:tcMar>
              <w:top w:type="dxa" w:w="90"/>
              <w:left w:type="dxa" w:w="120"/>
              <w:bottom w:type="dxa" w:w="90"/>
              <w:right w:type="dxa" w:w="120"/>
            </w:tcMar>
            <w:vAlign w:val="center"/>
          </w:tcPr>
          <w:p>
            <w:r>
              <w:rPr>
                <w:sz w:val="19"/>
                <w:szCs w:val="19"/>
              </w:rPr>
              <w:t xml:space="preserve">Create new records</w:t>
            </w:r>
          </w:p>
        </w:tc>
        <w:tc>
          <w:tcPr>
            <w:tcW w:type="dxa" w:w="1350"/>
            <w:shd w:fill="FFFFFF" w:val="clear"/>
            <w:tcMar>
              <w:top w:type="dxa" w:w="90"/>
              <w:left w:type="dxa" w:w="120"/>
              <w:bottom w:type="dxa" w:w="90"/>
              <w:right w:type="dxa" w:w="120"/>
            </w:tcMar>
            <w:vAlign w:val="center"/>
          </w:tcPr>
          <w:p>
            <w:r>
              <w:rPr>
                <w:sz w:val="19"/>
                <w:szCs w:val="19"/>
              </w:rPr>
              <w:t xml:space="preserve">Yes</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No</w:t>
            </w:r>
          </w:p>
        </w:tc>
      </w:tr>
      <w:tr>
        <w:tc>
          <w:tcPr>
            <w:tcW w:type="dxa" w:w="2600"/>
            <w:shd w:fill="EEF3F8" w:val="clear"/>
            <w:tcMar>
              <w:top w:type="dxa" w:w="90"/>
              <w:left w:type="dxa" w:w="120"/>
              <w:bottom w:type="dxa" w:w="90"/>
              <w:right w:type="dxa" w:w="120"/>
            </w:tcMar>
            <w:vAlign w:val="center"/>
          </w:tcPr>
          <w:p>
            <w:r>
              <w:rPr>
                <w:sz w:val="19"/>
                <w:szCs w:val="19"/>
              </w:rPr>
              <w:t xml:space="preserve">Edit record fields</w:t>
            </w:r>
          </w:p>
        </w:tc>
        <w:tc>
          <w:tcPr>
            <w:tcW w:type="dxa" w:w="1350"/>
            <w:shd w:fill="EEF3F8" w:val="clear"/>
            <w:tcMar>
              <w:top w:type="dxa" w:w="90"/>
              <w:left w:type="dxa" w:w="120"/>
              <w:bottom w:type="dxa" w:w="90"/>
              <w:right w:type="dxa" w:w="120"/>
            </w:tcMar>
            <w:vAlign w:val="center"/>
          </w:tcPr>
          <w:p>
            <w:r>
              <w:rPr>
                <w:sz w:val="19"/>
                <w:szCs w:val="19"/>
              </w:rPr>
              <w:t xml:space="preserve">Full edit</w:t>
            </w:r>
          </w:p>
        </w:tc>
        <w:tc>
          <w:tcPr>
            <w:tcW w:type="dxa" w:w="1350"/>
            <w:shd w:fill="EEF3F8" w:val="clear"/>
            <w:tcMar>
              <w:top w:type="dxa" w:w="90"/>
              <w:left w:type="dxa" w:w="120"/>
              <w:bottom w:type="dxa" w:w="90"/>
              <w:right w:type="dxa" w:w="120"/>
            </w:tcMar>
            <w:vAlign w:val="center"/>
          </w:tcPr>
          <w:p>
            <w:r>
              <w:rPr>
                <w:sz w:val="19"/>
                <w:szCs w:val="19"/>
              </w:rPr>
              <w:t xml:space="preserve">Full edit</w:t>
            </w:r>
          </w:p>
        </w:tc>
        <w:tc>
          <w:tcPr>
            <w:tcW w:type="dxa" w:w="1350"/>
            <w:shd w:fill="EEF3F8" w:val="clear"/>
            <w:tcMar>
              <w:top w:type="dxa" w:w="90"/>
              <w:left w:type="dxa" w:w="120"/>
              <w:bottom w:type="dxa" w:w="90"/>
              <w:right w:type="dxa" w:w="120"/>
            </w:tcMar>
            <w:vAlign w:val="center"/>
          </w:tcPr>
          <w:p>
            <w:r>
              <w:rPr>
                <w:sz w:val="19"/>
                <w:szCs w:val="19"/>
              </w:rPr>
              <w:t xml:space="preserve">Read-only</w:t>
            </w:r>
          </w:p>
        </w:tc>
        <w:tc>
          <w:tcPr>
            <w:tcW w:type="dxa" w:w="1350"/>
            <w:shd w:fill="EEF3F8" w:val="clear"/>
            <w:tcMar>
              <w:top w:type="dxa" w:w="90"/>
              <w:left w:type="dxa" w:w="120"/>
              <w:bottom w:type="dxa" w:w="90"/>
              <w:right w:type="dxa" w:w="120"/>
            </w:tcMar>
            <w:vAlign w:val="center"/>
          </w:tcPr>
          <w:p>
            <w:r>
              <w:rPr>
                <w:sz w:val="19"/>
                <w:szCs w:val="19"/>
              </w:rPr>
              <w:t xml:space="preserve">Full edit</w:t>
            </w:r>
          </w:p>
        </w:tc>
        <w:tc>
          <w:tcPr>
            <w:tcW w:type="dxa" w:w="1350"/>
            <w:shd w:fill="EEF3F8" w:val="clear"/>
            <w:tcMar>
              <w:top w:type="dxa" w:w="90"/>
              <w:left w:type="dxa" w:w="120"/>
              <w:bottom w:type="dxa" w:w="90"/>
              <w:right w:type="dxa" w:w="120"/>
            </w:tcMar>
            <w:vAlign w:val="center"/>
          </w:tcPr>
          <w:p>
            <w:r>
              <w:rPr>
                <w:sz w:val="19"/>
                <w:szCs w:val="19"/>
              </w:rPr>
              <w:t xml:space="preserve">Own records only</w:t>
            </w:r>
          </w:p>
        </w:tc>
      </w:tr>
      <w:tr>
        <w:tc>
          <w:tcPr>
            <w:tcW w:type="dxa" w:w="2600"/>
            <w:shd w:fill="FFFFFF" w:val="clear"/>
            <w:tcMar>
              <w:top w:type="dxa" w:w="90"/>
              <w:left w:type="dxa" w:w="120"/>
              <w:bottom w:type="dxa" w:w="90"/>
              <w:right w:type="dxa" w:w="120"/>
            </w:tcMar>
            <w:vAlign w:val="center"/>
          </w:tcPr>
          <w:p>
            <w:r>
              <w:rPr>
                <w:sz w:val="19"/>
                <w:szCs w:val="19"/>
              </w:rPr>
              <w:t xml:space="preserve">Change record status</w:t>
            </w:r>
          </w:p>
        </w:tc>
        <w:tc>
          <w:tcPr>
            <w:tcW w:type="dxa" w:w="1350"/>
            <w:shd w:fill="FFFFFF" w:val="clear"/>
            <w:tcMar>
              <w:top w:type="dxa" w:w="90"/>
              <w:left w:type="dxa" w:w="120"/>
              <w:bottom w:type="dxa" w:w="90"/>
              <w:right w:type="dxa" w:w="120"/>
            </w:tcMar>
            <w:vAlign w:val="center"/>
          </w:tcPr>
          <w:p>
            <w:r>
              <w:rPr>
                <w:sz w:val="19"/>
                <w:szCs w:val="19"/>
              </w:rPr>
              <w:t xml:space="preserve">No (view only)</w:t>
            </w:r>
          </w:p>
        </w:tc>
        <w:tc>
          <w:tcPr>
            <w:tcW w:type="dxa" w:w="1350"/>
            <w:shd w:fill="FFFFFF" w:val="clear"/>
            <w:tcMar>
              <w:top w:type="dxa" w:w="90"/>
              <w:left w:type="dxa" w:w="120"/>
              <w:bottom w:type="dxa" w:w="90"/>
              <w:right w:type="dxa" w:w="120"/>
            </w:tcMar>
            <w:vAlign w:val="center"/>
          </w:tcPr>
          <w:p>
            <w:r>
              <w:rPr>
                <w:sz w:val="19"/>
                <w:szCs w:val="19"/>
              </w:rPr>
              <w:t xml:space="preserve">Yes</w:t>
            </w:r>
          </w:p>
        </w:tc>
        <w:tc>
          <w:tcPr>
            <w:tcW w:type="dxa" w:w="1350"/>
            <w:shd w:fill="FFFFFF" w:val="clear"/>
            <w:tcMar>
              <w:top w:type="dxa" w:w="90"/>
              <w:left w:type="dxa" w:w="120"/>
              <w:bottom w:type="dxa" w:w="90"/>
              <w:right w:type="dxa" w:w="120"/>
            </w:tcMar>
            <w:vAlign w:val="center"/>
          </w:tcPr>
          <w:p>
            <w:r>
              <w:rPr>
                <w:sz w:val="19"/>
                <w:szCs w:val="19"/>
              </w:rPr>
              <w:t xml:space="preserve">Read-only</w:t>
            </w:r>
          </w:p>
        </w:tc>
        <w:tc>
          <w:tcPr>
            <w:tcW w:type="dxa" w:w="1350"/>
            <w:shd w:fill="FFFFFF" w:val="clear"/>
            <w:tcMar>
              <w:top w:type="dxa" w:w="90"/>
              <w:left w:type="dxa" w:w="120"/>
              <w:bottom w:type="dxa" w:w="90"/>
              <w:right w:type="dxa" w:w="120"/>
            </w:tcMar>
            <w:vAlign w:val="center"/>
          </w:tcPr>
          <w:p>
            <w:r>
              <w:rPr>
                <w:sz w:val="19"/>
                <w:szCs w:val="19"/>
              </w:rPr>
              <w:t xml:space="preserve">Yes</w:t>
            </w:r>
          </w:p>
        </w:tc>
        <w:tc>
          <w:tcPr>
            <w:tcW w:type="dxa" w:w="1350"/>
            <w:shd w:fill="FFFFFF" w:val="clear"/>
            <w:tcMar>
              <w:top w:type="dxa" w:w="90"/>
              <w:left w:type="dxa" w:w="120"/>
              <w:bottom w:type="dxa" w:w="90"/>
              <w:right w:type="dxa" w:w="120"/>
            </w:tcMar>
            <w:vAlign w:val="center"/>
          </w:tcPr>
          <w:p>
            <w:r>
              <w:rPr>
                <w:sz w:val="19"/>
                <w:szCs w:val="19"/>
              </w:rPr>
              <w:t xml:space="preserve">Own records only</w:t>
            </w:r>
          </w:p>
        </w:tc>
      </w:tr>
      <w:tr>
        <w:tc>
          <w:tcPr>
            <w:tcW w:type="dxa" w:w="2600"/>
            <w:shd w:fill="EEF3F8" w:val="clear"/>
            <w:tcMar>
              <w:top w:type="dxa" w:w="90"/>
              <w:left w:type="dxa" w:w="120"/>
              <w:bottom w:type="dxa" w:w="90"/>
              <w:right w:type="dxa" w:w="120"/>
            </w:tcMar>
            <w:vAlign w:val="center"/>
          </w:tcPr>
          <w:p>
            <w:r>
              <w:rPr>
                <w:sz w:val="19"/>
                <w:szCs w:val="19"/>
              </w:rPr>
              <w:t xml:space="preserve">Verify Accounting Collection</w:t>
            </w:r>
          </w:p>
        </w:tc>
        <w:tc>
          <w:tcPr>
            <w:tcW w:type="dxa" w:w="1350"/>
            <w:shd w:fill="EEF3F8" w:val="clear"/>
            <w:tcMar>
              <w:top w:type="dxa" w:w="90"/>
              <w:left w:type="dxa" w:w="120"/>
              <w:bottom w:type="dxa" w:w="90"/>
              <w:right w:type="dxa" w:w="120"/>
            </w:tcMar>
            <w:vAlign w:val="center"/>
          </w:tcPr>
          <w:p>
            <w:r>
              <w:rPr>
                <w:sz w:val="19"/>
                <w:szCs w:val="19"/>
              </w:rPr>
              <w:t xml:space="preserve">No</w:t>
            </w:r>
          </w:p>
        </w:tc>
        <w:tc>
          <w:tcPr>
            <w:tcW w:type="dxa" w:w="1350"/>
            <w:shd w:fill="EEF3F8" w:val="clear"/>
            <w:tcMar>
              <w:top w:type="dxa" w:w="90"/>
              <w:left w:type="dxa" w:w="120"/>
              <w:bottom w:type="dxa" w:w="90"/>
              <w:right w:type="dxa" w:w="120"/>
            </w:tcMar>
            <w:vAlign w:val="center"/>
          </w:tcPr>
          <w:p>
            <w:r>
              <w:rPr>
                <w:sz w:val="19"/>
                <w:szCs w:val="19"/>
              </w:rPr>
              <w:t xml:space="preserve">No</w:t>
            </w:r>
          </w:p>
        </w:tc>
        <w:tc>
          <w:tcPr>
            <w:tcW w:type="dxa" w:w="1350"/>
            <w:shd w:fill="EEF3F8" w:val="clear"/>
            <w:tcMar>
              <w:top w:type="dxa" w:w="90"/>
              <w:left w:type="dxa" w:w="120"/>
              <w:bottom w:type="dxa" w:w="90"/>
              <w:right w:type="dxa" w:w="120"/>
            </w:tcMar>
            <w:vAlign w:val="center"/>
          </w:tcPr>
          <w:p>
            <w:r>
              <w:rPr>
                <w:sz w:val="19"/>
                <w:szCs w:val="19"/>
              </w:rPr>
              <w:t xml:space="preserve">Yes (exclusive)</w:t>
            </w:r>
          </w:p>
        </w:tc>
        <w:tc>
          <w:tcPr>
            <w:tcW w:type="dxa" w:w="1350"/>
            <w:shd w:fill="EEF3F8" w:val="clear"/>
            <w:tcMar>
              <w:top w:type="dxa" w:w="90"/>
              <w:left w:type="dxa" w:w="120"/>
              <w:bottom w:type="dxa" w:w="90"/>
              <w:right w:type="dxa" w:w="120"/>
            </w:tcMar>
            <w:vAlign w:val="center"/>
          </w:tcPr>
          <w:p>
            <w:r>
              <w:rPr>
                <w:sz w:val="19"/>
                <w:szCs w:val="19"/>
              </w:rPr>
              <w:t xml:space="preserve">No</w:t>
            </w:r>
          </w:p>
        </w:tc>
        <w:tc>
          <w:tcPr>
            <w:tcW w:type="dxa" w:w="1350"/>
            <w:shd w:fill="EEF3F8" w:val="clear"/>
            <w:tcMar>
              <w:top w:type="dxa" w:w="90"/>
              <w:left w:type="dxa" w:w="120"/>
              <w:bottom w:type="dxa" w:w="90"/>
              <w:right w:type="dxa" w:w="120"/>
            </w:tcMar>
            <w:vAlign w:val="center"/>
          </w:tcPr>
          <w:p>
            <w:r>
              <w:rPr>
                <w:sz w:val="19"/>
                <w:szCs w:val="19"/>
              </w:rPr>
              <w:t xml:space="preserve">No</w:t>
            </w:r>
          </w:p>
        </w:tc>
      </w:tr>
      <w:tr>
        <w:tc>
          <w:tcPr>
            <w:tcW w:type="dxa" w:w="2600"/>
            <w:shd w:fill="FFFFFF" w:val="clear"/>
            <w:tcMar>
              <w:top w:type="dxa" w:w="90"/>
              <w:left w:type="dxa" w:w="120"/>
              <w:bottom w:type="dxa" w:w="90"/>
              <w:right w:type="dxa" w:w="120"/>
            </w:tcMar>
            <w:vAlign w:val="center"/>
          </w:tcPr>
          <w:p>
            <w:r>
              <w:rPr>
                <w:sz w:val="19"/>
                <w:szCs w:val="19"/>
              </w:rPr>
              <w:t xml:space="preserve">Dispatch Board / Driver Board / Calendar</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Yes</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Yes</w:t>
            </w:r>
          </w:p>
        </w:tc>
        <w:tc>
          <w:tcPr>
            <w:tcW w:type="dxa" w:w="1350"/>
            <w:shd w:fill="FFFFFF" w:val="clear"/>
            <w:tcMar>
              <w:top w:type="dxa" w:w="90"/>
              <w:left w:type="dxa" w:w="120"/>
              <w:bottom w:type="dxa" w:w="90"/>
              <w:right w:type="dxa" w:w="120"/>
            </w:tcMar>
            <w:vAlign w:val="center"/>
          </w:tcPr>
          <w:p>
            <w:r>
              <w:rPr>
                <w:sz w:val="19"/>
                <w:szCs w:val="19"/>
              </w:rPr>
              <w:t xml:space="preserve">N/A (own app)</w:t>
            </w:r>
          </w:p>
        </w:tc>
      </w:tr>
      <w:tr>
        <w:tc>
          <w:tcPr>
            <w:tcW w:type="dxa" w:w="2600"/>
            <w:shd w:fill="EEF3F8" w:val="clear"/>
            <w:tcMar>
              <w:top w:type="dxa" w:w="90"/>
              <w:left w:type="dxa" w:w="120"/>
              <w:bottom w:type="dxa" w:w="90"/>
              <w:right w:type="dxa" w:w="120"/>
            </w:tcMar>
            <w:vAlign w:val="center"/>
          </w:tcPr>
          <w:p>
            <w:r>
              <w:rPr>
                <w:sz w:val="19"/>
                <w:szCs w:val="19"/>
              </w:rPr>
              <w:t xml:space="preserve">SKU Master / Inventory / Transactions</w:t>
            </w:r>
          </w:p>
        </w:tc>
        <w:tc>
          <w:tcPr>
            <w:tcW w:type="dxa" w:w="1350"/>
            <w:shd w:fill="EEF3F8" w:val="clear"/>
            <w:tcMar>
              <w:top w:type="dxa" w:w="90"/>
              <w:left w:type="dxa" w:w="120"/>
              <w:bottom w:type="dxa" w:w="90"/>
              <w:right w:type="dxa" w:w="120"/>
            </w:tcMar>
            <w:vAlign w:val="center"/>
          </w:tcPr>
          <w:p>
            <w:r>
              <w:rPr>
                <w:sz w:val="19"/>
                <w:szCs w:val="19"/>
              </w:rPr>
              <w:t xml:space="preserve">Yes</w:t>
            </w:r>
          </w:p>
        </w:tc>
        <w:tc>
          <w:tcPr>
            <w:tcW w:type="dxa" w:w="1350"/>
            <w:shd w:fill="EEF3F8" w:val="clear"/>
            <w:tcMar>
              <w:top w:type="dxa" w:w="90"/>
              <w:left w:type="dxa" w:w="120"/>
              <w:bottom w:type="dxa" w:w="90"/>
              <w:right w:type="dxa" w:w="120"/>
            </w:tcMar>
            <w:vAlign w:val="center"/>
          </w:tcPr>
          <w:p>
            <w:r>
              <w:rPr>
                <w:sz w:val="19"/>
                <w:szCs w:val="19"/>
              </w:rPr>
              <w:t xml:space="preserve">Yes</w:t>
            </w:r>
          </w:p>
        </w:tc>
        <w:tc>
          <w:tcPr>
            <w:tcW w:type="dxa" w:w="1350"/>
            <w:shd w:fill="EEF3F8" w:val="clear"/>
            <w:tcMar>
              <w:top w:type="dxa" w:w="90"/>
              <w:left w:type="dxa" w:w="120"/>
              <w:bottom w:type="dxa" w:w="90"/>
              <w:right w:type="dxa" w:w="120"/>
            </w:tcMar>
            <w:vAlign w:val="center"/>
          </w:tcPr>
          <w:p>
            <w:r>
              <w:rPr>
                <w:sz w:val="19"/>
                <w:szCs w:val="19"/>
              </w:rPr>
              <w:t xml:space="preserve">Yes</w:t>
            </w:r>
          </w:p>
        </w:tc>
        <w:tc>
          <w:tcPr>
            <w:tcW w:type="dxa" w:w="1350"/>
            <w:shd w:fill="EEF3F8" w:val="clear"/>
            <w:tcMar>
              <w:top w:type="dxa" w:w="90"/>
              <w:left w:type="dxa" w:w="120"/>
              <w:bottom w:type="dxa" w:w="90"/>
              <w:right w:type="dxa" w:w="120"/>
            </w:tcMar>
            <w:vAlign w:val="center"/>
          </w:tcPr>
          <w:p>
            <w:r>
              <w:rPr>
                <w:sz w:val="19"/>
                <w:szCs w:val="19"/>
              </w:rPr>
              <w:t xml:space="preserve">Yes</w:t>
            </w:r>
          </w:p>
        </w:tc>
        <w:tc>
          <w:tcPr>
            <w:tcW w:type="dxa" w:w="1350"/>
            <w:shd w:fill="EEF3F8" w:val="clear"/>
            <w:tcMar>
              <w:top w:type="dxa" w:w="90"/>
              <w:left w:type="dxa" w:w="120"/>
              <w:bottom w:type="dxa" w:w="90"/>
              <w:right w:type="dxa" w:w="120"/>
            </w:tcMar>
            <w:vAlign w:val="center"/>
          </w:tcPr>
          <w:p>
            <w:r>
              <w:rPr>
                <w:sz w:val="19"/>
                <w:szCs w:val="19"/>
              </w:rPr>
              <w:t xml:space="preserve">No</w:t>
            </w:r>
          </w:p>
        </w:tc>
      </w:tr>
      <w:tr>
        <w:tc>
          <w:tcPr>
            <w:tcW w:type="dxa" w:w="2600"/>
            <w:shd w:fill="FFFFFF" w:val="clear"/>
            <w:tcMar>
              <w:top w:type="dxa" w:w="90"/>
              <w:left w:type="dxa" w:w="120"/>
              <w:bottom w:type="dxa" w:w="90"/>
              <w:right w:type="dxa" w:w="120"/>
            </w:tcMar>
            <w:vAlign w:val="center"/>
          </w:tcPr>
          <w:p>
            <w:r>
              <w:rPr>
                <w:sz w:val="19"/>
                <w:szCs w:val="19"/>
              </w:rPr>
              <w:t xml:space="preserve">Admin Panel / Data Sampler</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No</w:t>
            </w:r>
          </w:p>
        </w:tc>
        <w:tc>
          <w:tcPr>
            <w:tcW w:type="dxa" w:w="1350"/>
            <w:shd w:fill="FFFFFF" w:val="clear"/>
            <w:tcMar>
              <w:top w:type="dxa" w:w="90"/>
              <w:left w:type="dxa" w:w="120"/>
              <w:bottom w:type="dxa" w:w="90"/>
              <w:right w:type="dxa" w:w="120"/>
            </w:tcMar>
            <w:vAlign w:val="center"/>
          </w:tcPr>
          <w:p>
            <w:r>
              <w:rPr>
                <w:sz w:val="19"/>
                <w:szCs w:val="19"/>
              </w:rPr>
              <w:t xml:space="preserve">Yes (exclusive)</w:t>
            </w:r>
          </w:p>
        </w:tc>
        <w:tc>
          <w:tcPr>
            <w:tcW w:type="dxa" w:w="1350"/>
            <w:shd w:fill="FFFFFF" w:val="clear"/>
            <w:tcMar>
              <w:top w:type="dxa" w:w="90"/>
              <w:left w:type="dxa" w:w="120"/>
              <w:bottom w:type="dxa" w:w="90"/>
              <w:right w:type="dxa" w:w="120"/>
            </w:tcMar>
            <w:vAlign w:val="center"/>
          </w:tcPr>
          <w:p>
            <w:r>
              <w:rPr>
                <w:sz w:val="19"/>
                <w:szCs w:val="19"/>
              </w:rPr>
              <w:t xml:space="preserve">No</w:t>
            </w:r>
          </w:p>
        </w:tc>
      </w:tr>
      <w:tr>
        <w:tc>
          <w:tcPr>
            <w:tcW w:type="dxa" w:w="2600"/>
            <w:shd w:fill="EEF3F8" w:val="clear"/>
            <w:tcMar>
              <w:top w:type="dxa" w:w="90"/>
              <w:left w:type="dxa" w:w="120"/>
              <w:bottom w:type="dxa" w:w="90"/>
              <w:right w:type="dxa" w:w="120"/>
            </w:tcMar>
            <w:vAlign w:val="center"/>
          </w:tcPr>
          <w:p>
            <w:r>
              <w:rPr>
                <w:sz w:val="19"/>
                <w:szCs w:val="19"/>
              </w:rPr>
              <w:t xml:space="preserve">Statistical Reports / Status History</w:t>
            </w:r>
          </w:p>
        </w:tc>
        <w:tc>
          <w:tcPr>
            <w:tcW w:type="dxa" w:w="1350"/>
            <w:shd w:fill="EEF3F8" w:val="clear"/>
            <w:tcMar>
              <w:top w:type="dxa" w:w="90"/>
              <w:left w:type="dxa" w:w="120"/>
              <w:bottom w:type="dxa" w:w="90"/>
              <w:right w:type="dxa" w:w="120"/>
            </w:tcMar>
            <w:vAlign w:val="center"/>
          </w:tcPr>
          <w:p>
            <w:r>
              <w:rPr>
                <w:sz w:val="19"/>
                <w:szCs w:val="19"/>
              </w:rPr>
              <w:t xml:space="preserve">No</w:t>
            </w:r>
          </w:p>
        </w:tc>
        <w:tc>
          <w:tcPr>
            <w:tcW w:type="dxa" w:w="1350"/>
            <w:shd w:fill="EEF3F8" w:val="clear"/>
            <w:tcMar>
              <w:top w:type="dxa" w:w="90"/>
              <w:left w:type="dxa" w:w="120"/>
              <w:bottom w:type="dxa" w:w="90"/>
              <w:right w:type="dxa" w:w="120"/>
            </w:tcMar>
            <w:vAlign w:val="center"/>
          </w:tcPr>
          <w:p>
            <w:r>
              <w:rPr>
                <w:sz w:val="19"/>
                <w:szCs w:val="19"/>
              </w:rPr>
              <w:t xml:space="preserve">Yes</w:t>
            </w:r>
          </w:p>
        </w:tc>
        <w:tc>
          <w:tcPr>
            <w:tcW w:type="dxa" w:w="1350"/>
            <w:shd w:fill="EEF3F8" w:val="clear"/>
            <w:tcMar>
              <w:top w:type="dxa" w:w="90"/>
              <w:left w:type="dxa" w:w="120"/>
              <w:bottom w:type="dxa" w:w="90"/>
              <w:right w:type="dxa" w:w="120"/>
            </w:tcMar>
            <w:vAlign w:val="center"/>
          </w:tcPr>
          <w:p>
            <w:r>
              <w:rPr>
                <w:sz w:val="19"/>
                <w:szCs w:val="19"/>
              </w:rPr>
              <w:t xml:space="preserve">No</w:t>
            </w:r>
          </w:p>
        </w:tc>
        <w:tc>
          <w:tcPr>
            <w:tcW w:type="dxa" w:w="1350"/>
            <w:shd w:fill="EEF3F8" w:val="clear"/>
            <w:tcMar>
              <w:top w:type="dxa" w:w="90"/>
              <w:left w:type="dxa" w:w="120"/>
              <w:bottom w:type="dxa" w:w="90"/>
              <w:right w:type="dxa" w:w="120"/>
            </w:tcMar>
            <w:vAlign w:val="center"/>
          </w:tcPr>
          <w:p>
            <w:r>
              <w:rPr>
                <w:sz w:val="19"/>
                <w:szCs w:val="19"/>
              </w:rPr>
              <w:t xml:space="preserve">Yes</w:t>
            </w:r>
          </w:p>
        </w:tc>
        <w:tc>
          <w:tcPr>
            <w:tcW w:type="dxa" w:w="1350"/>
            <w:shd w:fill="EEF3F8" w:val="clear"/>
            <w:tcMar>
              <w:top w:type="dxa" w:w="90"/>
              <w:left w:type="dxa" w:w="120"/>
              <w:bottom w:type="dxa" w:w="90"/>
              <w:right w:type="dxa" w:w="120"/>
            </w:tcMar>
            <w:vAlign w:val="center"/>
          </w:tcPr>
          <w:p>
            <w:r>
              <w:rPr>
                <w:sz w:val="19"/>
                <w:szCs w:val="19"/>
              </w:rPr>
              <w:t xml:space="preserve">No</w:t>
            </w:r>
          </w:p>
        </w:tc>
      </w:tr>
    </w:tbl>
    <w:p>
      <w:pPr>
        <w:spacing w:before="200"/>
      </w:pPr>
      <w:r>
        <w:rPr>
          <w:i/>
          <w:iCs/>
          <w:color w:val="595959"/>
          <w:sz w:val="18"/>
          <w:szCs w:val="18"/>
        </w:rPr>
        <w:t xml:space="preserve">* TASS = Technical Admin System Services. Its column reflects the current, unvalidated implementation, not confirmed department requirements.</w:t>
      </w:r>
    </w:p>
    <w:p>
      <w:pPr>
        <w:spacing w:after="160"/>
      </w:pPr>
      <w:r>
        <w:t xml:space="preserve">In practice, a typical delivery's lifecycle crosses three roles: Sales Coordinator creates the record; Logistics assigns a driver, vehicle, and schedule; and, for Accounting Collection records specifically, TASS currently performs the final collection-verification step in this implementation. No single role can complete the whole chain alone, by design.</w:t>
      </w:r>
    </w:p>
    <w:p>
      <w:pPr>
        <w:pStyle w:val="Heading1"/>
        <w:spacing w:after="200" w:before="400"/>
      </w:pPr>
      <w:r>
        <w:t>4. Authentication &amp; Microsoft 365 Integration</w:t>
      </w:r>
    </w:p>
    <w:p>
      <w:pPr>
        <w:spacing w:after="160"/>
      </w:pPr>
      <w:r>
        <w:t>Login supports two paths into the same session-cookie/RBAC system: email + password (the original path) and Microsoft Azure AD single sign-on via an OAuth 2.0 authorization-code flow. The Sign in with Microsoft button is always visible on the login screen — if Azure isn't configured, clicking it shows a clear inline error and expands the email form, rather than failing silently or flickering.</w:t>
      </w:r>
    </w:p>
    <w:p>
      <w:pPr>
        <w:spacing w:after="160"/>
      </w:pPr>
      <w:r>
        <w:t>On first SSO login, the backend looks up an existing user by Microsoft object ID, then by email (so a user who already had an email+password account gets linked automatically rather than duplicated). If no match exists, a new account is auto-provisioned with the lowest-privilege role (Sales Coordinator) and a random, never-surfaced password. Deactivated accounts are blocked at the callback stage.</w:t>
      </w:r>
    </w:p>
    <w:p>
      <w:pPr>
        <w:spacing w:after="160"/>
      </w:pPr>
      <w:r>
        <w:t>Every outbound email in the system — the daily 4 PM logistics/AM alert, the weekly Logistics/Admin report, and Output Action notifications — goes through one unified mailer with a three-tier fallback: Microsoft Graph (when Azure credentials are configured) → SMTP → a console-logged mock. NotificationLog entries record the real delivery outcome (SENT / FAILED / MOCKED), never overstating what happened.</w:t>
      </w:r>
    </w:p>
    <w:p>
      <w:pPr>
        <w:spacing w:after="160"/>
      </w:pPr>
      <w:r>
        <w:t>The session cookie is hardened for iframe contexts in production (secure + sameSite=none), which is what allows the portal to work correctly when embedded as a Microsoft Teams tab — see the Microsoft Teams packaging note below and teams/README.md in the repository for the Azure AD app registration walkthrough.</w:t>
      </w:r>
    </w:p>
    <w:p>
      <w:pPr>
        <w:pStyle w:val="Heading3"/>
        <w:spacing w:after="100" w:before="200"/>
      </w:pPr>
      <w:r>
        <w:t>Microsoft Teams Packaging</w:t>
      </w:r>
    </w:p>
    <w:p>
      <w:pPr>
        <w:spacing w:after="160"/>
      </w:pPr>
      <w:r>
        <w:t>The teams/ directory in the repository packages the portal as a Teams tab: a manifest, color/outline icons, and a build script (teams/build.sh) that fills in deployment-specific placeholders (client ID, app URL, domain) from environment variables and produces an upload-ready zip for Teams Admin Center. It reuses the same Azure AD app registration as browser SSO, so a user's account, permissions, and audit trail are identical whether the portal is opened in a browser tab or a Teams tab.</w:t>
      </w:r>
    </w:p>
    <w:p>
      <w:pPr>
        <w:pStyle w:val="Heading3"/>
        <w:spacing w:after="100" w:before="200"/>
      </w:pPr>
      <w:r>
        <w:t>Admin Diagnostics</w:t>
      </w:r>
    </w:p>
    <w:p>
      <w:pPr>
        <w:spacing w:after="160"/>
      </w:pPr>
      <w:r>
        <w:t>The Admin Panel’s Integrations tab (User Management → Integrations, see Section 5) shows live status for Azure SSO configuration, which email method is currently active, and Microsoft-linked user counts, plus a one-click test-email sender — so verifying these integrations doesn’t require server console or log access.</w:t>
      </w:r>
    </w:p>
    <w:p>
      <w:pPr>
        <w:pStyle w:val="Heading1"/>
        <w:spacing w:after="200" w:before="400"/>
      </w:pPr>
      <w:r>
        <w:t>5. Core Features</w:t>
      </w:r>
    </w:p>
    <w:p>
      <w:pPr>
        <w:pStyle w:val="ListParagraph"/>
        <w:numPr>
          <w:ilvl w:val="0"/>
          <w:numId w:val="2"/>
        </w:numPr>
        <w:spacing w:after="80"/>
      </w:pPr>
      <w:r>
        <w:rPr>
          <w:b/>
          <w:bCs/>
        </w:rPr>
        <w:t xml:space="preserve">Role-scoped navigation </w:t>
      </w:r>
      <w:r>
        <w:t xml:space="preserve">driven per-user by a role default plus optional per-screen overrides.</w:t>
      </w:r>
    </w:p>
    <w:p>
      <w:pPr>
        <w:pStyle w:val="ListParagraph"/>
        <w:numPr>
          <w:ilvl w:val="0"/>
          <w:numId w:val="2"/>
        </w:numPr>
        <w:spacing w:after="80"/>
      </w:pPr>
      <w:r>
        <w:rPr>
          <w:b/>
          <w:bCs/>
        </w:rPr>
        <w:t xml:space="preserve">Per-record audit trail </w:t>
      </w:r>
      <w:r>
        <w:t xml:space="preserve">(Created By / Modified By with timestamps) plus an append-only remark history.</w:t>
      </w:r>
    </w:p>
    <w:p>
      <w:pPr>
        <w:pStyle w:val="ListParagraph"/>
        <w:numPr>
          <w:ilvl w:val="0"/>
          <w:numId w:val="2"/>
        </w:numPr>
        <w:spacing w:after="80"/>
      </w:pPr>
      <w:r>
        <w:rPr>
          <w:b/>
          <w:bCs/>
        </w:rPr>
        <w:t xml:space="preserve">Validated lookups </w:t>
      </w:r>
      <w:r>
        <w:t xml:space="preserve">(Company, Area, Priority, Category, Vehicle, Driver, Account Manager) instead of free text.</w:t>
      </w:r>
    </w:p>
    <w:p>
      <w:pPr>
        <w:pStyle w:val="ListParagraph"/>
        <w:numPr>
          <w:ilvl w:val="0"/>
          <w:numId w:val="2"/>
        </w:numPr>
        <w:spacing w:after="80"/>
      </w:pPr>
      <w:r>
        <w:rPr>
          <w:b/>
          <w:bCs/>
        </w:rPr>
        <w:t xml:space="preserve">Logistics Dispatch Board, Driver Board, and Delivery Calendar </w:t>
      </w:r>
      <w:r>
        <w:t xml:space="preserve">for field coordination.</w:t>
      </w:r>
    </w:p>
    <w:p>
      <w:pPr>
        <w:pStyle w:val="ListParagraph"/>
        <w:numPr>
          <w:ilvl w:val="0"/>
          <w:numId w:val="2"/>
        </w:numPr>
        <w:spacing w:after="80"/>
      </w:pPr>
      <w:r>
        <w:rPr>
          <w:b/>
          <w:bCs/>
        </w:rPr>
        <w:t xml:space="preserve">Driver directory management </w:t>
      </w:r>
      <w:r>
        <w:t xml:space="preserve">with real CRUD, replacing a hardcoded array.</w:t>
      </w:r>
    </w:p>
    <w:p>
      <w:pPr>
        <w:pStyle w:val="ListParagraph"/>
        <w:numPr>
          <w:ilvl w:val="0"/>
          <w:numId w:val="2"/>
        </w:numPr>
        <w:spacing w:after="80"/>
      </w:pPr>
      <w:r>
        <w:rPr>
          <w:b/>
          <w:bCs/>
        </w:rPr>
        <w:t xml:space="preserve">Customers &amp; Suppliers directories </w:t>
      </w:r>
      <w:r>
        <w:t xml:space="preserve">as real backend-served master-data tables.</w:t>
      </w:r>
    </w:p>
    <w:p>
      <w:pPr>
        <w:pStyle w:val="ListParagraph"/>
        <w:numPr>
          <w:ilvl w:val="0"/>
          <w:numId w:val="2"/>
        </w:numPr>
        <w:spacing w:after="80"/>
      </w:pPr>
      <w:r>
        <w:rPr>
          <w:b/>
          <w:bCs/>
        </w:rPr>
        <w:t xml:space="preserve">SKU Master &amp; Inventory </w:t>
      </w:r>
      <w:r>
        <w:t xml:space="preserve">tracking cost/price, reorder point, warehouse location, and a full transaction ledger.</w:t>
      </w:r>
    </w:p>
    <w:p>
      <w:pPr>
        <w:pStyle w:val="ListParagraph"/>
        <w:numPr>
          <w:ilvl w:val="0"/>
          <w:numId w:val="2"/>
        </w:numPr>
        <w:spacing w:after="80"/>
      </w:pPr>
      <w:r>
        <w:rPr>
          <w:b/>
          <w:bCs/>
        </w:rPr>
        <w:t xml:space="preserve">In-app notifications </w:t>
      </w:r>
      <w:r>
        <w:t xml:space="preserve">plus a separate outbound-trigger audit log.</w:t>
      </w:r>
    </w:p>
    <w:p>
      <w:pPr>
        <w:pStyle w:val="ListParagraph"/>
        <w:numPr>
          <w:ilvl w:val="0"/>
          <w:numId w:val="2"/>
        </w:numPr>
        <w:spacing w:after="80"/>
      </w:pPr>
      <w:r>
        <w:rPr>
          <w:b/>
          <w:bCs/>
        </w:rPr>
        <w:t xml:space="preserve">Configurable Output Actions </w:t>
      </w:r>
      <w:r>
        <w:t xml:space="preserve">(an IPO-style automation panel) attached to every record workspace.</w:t>
      </w:r>
    </w:p>
    <w:p>
      <w:pPr>
        <w:pStyle w:val="ListParagraph"/>
        <w:numPr>
          <w:ilvl w:val="0"/>
          <w:numId w:val="2"/>
        </w:numPr>
        <w:spacing w:after="80"/>
      </w:pPr>
      <w:r>
        <w:rPr>
          <w:b/>
          <w:bCs/>
        </w:rPr>
        <w:t xml:space="preserve">CSV / Excel / PDF / Word export, </w:t>
      </w:r>
      <w:r>
        <w:t xml:space="preserve">shared across modules, including driver reports, route slips, and a cross-category export.</w:t>
      </w:r>
    </w:p>
    <w:p>
      <w:pPr>
        <w:pStyle w:val="ListParagraph"/>
        <w:numPr>
          <w:ilvl w:val="0"/>
          <w:numId w:val="2"/>
        </w:numPr>
        <w:spacing w:after="80"/>
      </w:pPr>
      <w:r>
        <w:t>Admin Panel for user management (including inline edit and a Microsoft-linked auth badge), permission overrides, a system-wide audit log viewer, and an Integrations tab (Azure SSO / email status, test email).</w:t>
      </w:r>
    </w:p>
    <w:p>
      <w:pPr>
        <w:pStyle w:val="ListParagraph"/>
        <w:numPr>
          <w:ilvl w:val="0"/>
          <w:numId w:val="2"/>
        </w:numPr>
        <w:spacing w:after="80"/>
      </w:pPr>
      <w:r>
        <w:rPr>
          <w:b/>
        </w:rPr>
        <w:t xml:space="preserve">Microsoft Azure AD single sign-on </w:t>
      </w:r>
      <w:r>
        <w:t>— a real OAuth 2.0 flow, always visible on the login screen alongside email+password, with auto-provisioning and account linking via a microsoftOid field.</w:t>
      </w:r>
    </w:p>
    <w:p>
      <w:pPr>
        <w:pStyle w:val="ListParagraph"/>
        <w:numPr>
          <w:ilvl w:val="0"/>
          <w:numId w:val="2"/>
        </w:numPr>
        <w:spacing w:after="80"/>
      </w:pPr>
      <w:r>
        <w:rPr>
          <w:b/>
        </w:rPr>
        <w:t xml:space="preserve">Real outbound email </w:t>
      </w:r>
      <w:r>
        <w:t>— a unified mailer sending through Microsoft Graph, falling back to SMTP, falling back again to a console-logged mock, so the same code runs in every environment.</w:t>
      </w:r>
    </w:p>
    <w:p>
      <w:pPr>
        <w:pStyle w:val="ListParagraph"/>
        <w:numPr>
          <w:ilvl w:val="0"/>
          <w:numId w:val="2"/>
        </w:numPr>
        <w:spacing w:after="80"/>
      </w:pPr>
      <w:r>
        <w:rPr>
          <w:b/>
        </w:rPr>
        <w:t xml:space="preserve">Microsoft Teams tab app packaging </w:t>
      </w:r>
      <w:r>
        <w:t>— a Teams manifest, icons, and build script (teams/) for embedding the portal as a Teams tab with SSO.</w:t>
      </w:r>
    </w:p>
    <w:p>
      <w:pPr>
        <w:pStyle w:val="ListParagraph"/>
        <w:numPr>
          <w:ilvl w:val="0"/>
          <w:numId w:val="2"/>
        </w:numPr>
        <w:spacing w:after="80"/>
      </w:pPr>
      <w:r>
        <w:t>No record-volume cap, directly addressing the SharePoint list-threshold pain point.</w:t>
      </w:r>
    </w:p>
    <w:p>
      <w:pPr>
        <w:pStyle w:val="Heading1"/>
        <w:spacing w:after="200" w:before="400"/>
      </w:pPr>
      <w:r>
        <w:t>6. Exporting System</w:t>
      </w:r>
    </w:p>
    <w:p>
      <w:pPr>
        <w:spacing w:after="160"/>
      </w:pPr>
      <w:r>
        <w:t xml:space="preserve">All exports flow through a small set of shared, reusable modules rather than each screen implementing its own file-generation logic:</w:t>
      </w:r>
    </w:p>
    <w:p>
      <w:pPr>
        <w:pStyle w:val="ListParagraph"/>
        <w:numPr>
          <w:ilvl w:val="0"/>
          <w:numId w:val="2"/>
        </w:numPr>
        <w:spacing w:after="80"/>
      </w:pPr>
      <w:r>
        <w:rPr>
          <w:b/>
          <w:bCs/>
        </w:rPr>
        <w:t xml:space="preserve">export.ts </w:t>
      </w:r>
      <w:r>
        <w:t xml:space="preserve">— the shared CSV / Excel / PDF export engine used by every record list, including a metadata header, brand styling, and status pill badges.</w:t>
      </w:r>
    </w:p>
    <w:p>
      <w:pPr>
        <w:pStyle w:val="ListParagraph"/>
        <w:numPr>
          <w:ilvl w:val="0"/>
          <w:numId w:val="2"/>
        </w:numPr>
        <w:spacing w:after="80"/>
      </w:pPr>
      <w:r>
        <w:rPr>
          <w:b/>
          <w:bCs/>
        </w:rPr>
        <w:t xml:space="preserve">exportDocx.ts </w:t>
      </w:r>
      <w:r>
        <w:t xml:space="preserve">— Word (.docx) export, landscape A4.</w:t>
      </w:r>
    </w:p>
    <w:p>
      <w:pPr>
        <w:pStyle w:val="ListParagraph"/>
        <w:numPr>
          <w:ilvl w:val="0"/>
          <w:numId w:val="2"/>
        </w:numPr>
        <w:spacing w:after="80"/>
      </w:pPr>
      <w:r>
        <w:rPr>
          <w:b/>
          <w:bCs/>
        </w:rPr>
        <w:t xml:space="preserve">exportDriverReport.ts </w:t>
      </w:r>
      <w:r>
        <w:t xml:space="preserve">— a styled Excel driver report.</w:t>
      </w:r>
    </w:p>
    <w:p>
      <w:pPr>
        <w:pStyle w:val="ListParagraph"/>
        <w:numPr>
          <w:ilvl w:val="0"/>
          <w:numId w:val="2"/>
        </w:numPr>
        <w:spacing w:after="80"/>
      </w:pPr>
      <w:r>
        <w:rPr>
          <w:b/>
          <w:bCs/>
        </w:rPr>
        <w:t xml:space="preserve">routeSlip.ts </w:t>
      </w:r>
      <w:r>
        <w:t xml:space="preserve">— the Daily Route Slip export, matching Microgenesis's existing paper template.</w:t>
      </w:r>
    </w:p>
    <w:p>
      <w:pPr>
        <w:pStyle w:val="ListParagraph"/>
        <w:numPr>
          <w:ilvl w:val="0"/>
          <w:numId w:val="2"/>
        </w:numPr>
        <w:spacing w:after="80"/>
      </w:pPr>
      <w:r>
        <w:rPr>
          <w:b/>
          <w:bCs/>
        </w:rPr>
        <w:t xml:space="preserve">allOpsExport.ts </w:t>
      </w:r>
      <w:r>
        <w:t xml:space="preserve">— a cross-category “All Operations” export with a computed summary block.</w:t>
      </w:r>
    </w:p>
    <w:p>
      <w:pPr>
        <w:spacing w:after="160"/>
      </w:pPr>
      <w:r>
        <w:t xml:space="preserve">Every export is generated directly from the live database record, so the exported document and the system's data can never silently drift apart.</w:t>
      </w:r>
    </w:p>
    <w:tbl>
      <w:tblPr>
        <w:tblW w:type="dxa" w:w="9350"/>
        <w:tblBorders>
          <w:top w:val="single" w:color="1B5E20" w:sz="4"/>
          <w:left w:val="single" w:color="1B5E20" w:sz="24"/>
          <w:bottom w:val="single" w:color="1B5E20" w:sz="4"/>
          <w:right w:val="single" w:color="1B5E20" w:sz="4"/>
          <w:insideH w:val="single" w:color="auto" w:sz="4"/>
          <w:insideV w:val="single" w:color="auto" w:sz="4"/>
        </w:tblBorders>
      </w:tblPr>
      <w:tblGrid>
        <w:gridCol w:w="9350"/>
      </w:tblGrid>
      <w:tr>
        <w:tc>
          <w:tcPr>
            <w:tcW w:type="dxa" w:w="9350"/>
            <w:shd w:fill="E8F5E9" w:val="clear"/>
            <w:tcMar>
              <w:top w:type="dxa" w:w="160"/>
              <w:left w:type="dxa" w:w="200"/>
              <w:bottom w:type="dxa" w:w="160"/>
              <w:right w:type="dxa" w:w="200"/>
            </w:tcMar>
          </w:tcPr>
          <w:p>
            <w:pPr>
              <w:spacing w:after="80"/>
            </w:pPr>
            <w:r>
              <w:rPr>
                <w:b/>
                <w:bCs/>
                <w:color w:val="1B5E20"/>
              </w:rPr>
              <w:t xml:space="preserve">Status Trail export — built at Logistics' request</w:t>
            </w:r>
          </w:p>
          <w:p>
            <w:r>
              <w:rPr>
                <w:color w:val="333333"/>
              </w:rPr>
              <w:t xml:space="preserve">Logistics specifically asked whether an export could reflect a record's full status history — for example, a record that was Pending and is now Scheduled should be countable under BOTH statuses in a report, not just its current one. This is implemented: every export menu offers a Status Trail mode alongside the normal (“Current Status”) export. In Status Trail mode, each record is counted under every status it has ever held, reconstructed from that record's audit history (computeStatusHistoryCounts() in src/utils/export.ts, backed by GET /api/records/status-history-counts). Available in CSV, Excel, Word, and PDF, across every export menu in the app.</w:t>
            </w:r>
          </w:p>
        </w:tc>
      </w:tr>
    </w:tbl>
    <w:p>
      <w:pPr>
        <w:spacing w:before="200"/>
      </w:pPr>
    </w:p>
    <w:p>
      <w:pPr>
        <w:pStyle w:val="Heading1"/>
        <w:spacing w:after="200" w:before="400"/>
      </w:pPr>
      <w:r>
        <w:t>7. Notifications &amp; Output Actions</w:t>
      </w:r>
    </w:p>
    <w:p>
      <w:pPr>
        <w:spacing w:after="160"/>
      </w:pPr>
      <w:r>
        <w:t>The portal has two distinct notification concepts: in-app bell notifications, and a separate NotificationLog audit trail of outbound trigger events. Five of the six Output Action triggers — Accomplished, Rescheduled, On-Hold, RMA Completed, and Collection Verified — dispatch real email through the unified mailer (Section 4) and write a NotificationLog row per recipient with the real delivery outcome. Record Created remains a client-side simulation, since it fires before the record has been saved and assigned an ID to attach a log entry to.</w:t>
      </w:r>
    </w:p>
    <w:tbl>
      <w:tblPr>
        <w:tblW w:type="dxa" w:w="9350"/>
        <w:tblBorders>
          <w:top w:val="single" w:color="8A6D00" w:sz="4"/>
          <w:left w:val="single" w:color="8A6D00" w:sz="24"/>
          <w:bottom w:val="single" w:color="8A6D00" w:sz="4"/>
          <w:right w:val="single" w:color="8A6D00" w:sz="4"/>
          <w:insideH w:val="single" w:color="auto" w:sz="4"/>
          <w:insideV w:val="single" w:color="auto" w:sz="4"/>
        </w:tblBorders>
      </w:tblPr>
      <w:tblGrid>
        <w:gridCol w:w="9350"/>
      </w:tblGrid>
      <w:tr>
        <w:tc>
          <w:tcPr>
            <w:tcW w:type="dxa" w:w="9350"/>
            <w:shd w:fill="FDECEA" w:val="clear"/>
            <w:tcMar>
              <w:top w:type="dxa" w:w="160"/>
              <w:left w:type="dxa" w:w="200"/>
              <w:bottom w:type="dxa" w:w="160"/>
              <w:right w:type="dxa" w:w="200"/>
            </w:tcMar>
          </w:tcPr>
          <w:p>
            <w:pPr>
              <w:spacing w:after="80"/>
            </w:pPr>
            <w:r>
              <w:rPr>
                <w:b/>
                <w:bCs/>
                <w:color w:val="8A6D00"/>
              </w:rPr>
              <w:t xml:space="preserve">Important: most Output Actions are simulated</w:t>
            </w:r>
          </w:p>
          <w:p>
            <w:r>
              <w:rPr>
                <w:color w:val="333333"/>
              </w:rPr>
              <w:t xml:space="preserve">Only one of the six Output Action triggers — Accomplished — is wired to a real backend effect (a logged, mocked email). The other five (Record Created, Rescheduled, On-Hold, RMA Completed, Collection Verified) are client-side simulations: a confirmation banner and a log entry, with no real network call. This is a deliberate, documented scope boundary, not a bug.</w:t>
            </w:r>
          </w:p>
        </w:tc>
      </w:tr>
    </w:tbl>
    <w:p>
      <w:pPr>
        <w:spacing w:before="200"/>
      </w:pPr>
    </w:p>
    <w:p>
      <w:pPr>
        <w:pStyle w:val="Heading1"/>
        <w:spacing w:after="200" w:before="400"/>
      </w:pPr>
      <w:r>
        <w:t>8. Database Architecture</w:t>
      </w:r>
    </w:p>
    <w:p>
      <w:pPr>
        <w:spacing w:after="160"/>
      </w:pPr>
      <w:r>
        <w:t xml:space="preserve">PostgreSQL via Prisma. Enum-like fields (role, status, category) are modeled as plain string columns, with valid values enforced in application code rather than native Postgres enums — a deliberate tradeoff for schema portability.</w:t>
      </w:r>
      <w:r>
        <w:t xml:space="preserve"> The User model additionally carries a unique, nullable microsoftOid column, set when an account is linked to a Microsoft identity via SSO; email-only accounts are entirely unaffected by whether SSO is enabled.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1F3864" w:val="clear"/>
            <w:tcMar>
              <w:top w:type="dxa" w:w="100"/>
              <w:left w:type="dxa" w:w="120"/>
              <w:bottom w:type="dxa" w:w="100"/>
              <w:right w:type="dxa" w:w="120"/>
            </w:tcMar>
            <w:vAlign w:val="center"/>
          </w:tcPr>
          <w:p>
            <w:r>
              <w:rPr>
                <w:b/>
                <w:bCs/>
                <w:color w:val="FFFFFF"/>
                <w:sz w:val="20"/>
                <w:szCs w:val="20"/>
              </w:rPr>
              <w:t xml:space="preserve">Model</w:t>
            </w:r>
          </w:p>
        </w:tc>
        <w:tc>
          <w:tcPr>
            <w:tcW w:type="dxa" w:w="6850"/>
            <w:shd w:fill="1F3864" w:val="clear"/>
            <w:tcMar>
              <w:top w:type="dxa" w:w="100"/>
              <w:left w:type="dxa" w:w="120"/>
              <w:bottom w:type="dxa" w:w="100"/>
              <w:right w:type="dxa" w:w="120"/>
            </w:tcMar>
            <w:vAlign w:val="center"/>
          </w:tcPr>
          <w:p>
            <w:r>
              <w:rPr>
                <w:b/>
                <w:bCs/>
                <w:color w:val="FFFFFF"/>
                <w:sz w:val="20"/>
                <w:szCs w:val="20"/>
              </w:rPr>
              <w:t xml:space="preserve">Purpose</w:t>
            </w:r>
          </w:p>
        </w:tc>
      </w:tr>
      <w:tr>
        <w:tc>
          <w:tcPr>
            <w:tcW w:type="dxa" w:w="2500"/>
            <w:shd w:fill="FFFFFF" w:val="clear"/>
            <w:tcMar>
              <w:top w:type="dxa" w:w="90"/>
              <w:left w:type="dxa" w:w="120"/>
              <w:bottom w:type="dxa" w:w="90"/>
              <w:right w:type="dxa" w:w="120"/>
            </w:tcMar>
            <w:vAlign w:val="center"/>
          </w:tcPr>
          <w:p>
            <w:r>
              <w:rPr>
                <w:sz w:val="19"/>
                <w:szCs w:val="19"/>
              </w:rPr>
              <w:t xml:space="preserve">User</w:t>
            </w:r>
          </w:p>
        </w:tc>
        <w:tc>
          <w:tcPr>
            <w:tcW w:type="dxa" w:w="6850"/>
            <w:shd w:fill="FFFFFF" w:val="clear"/>
            <w:tcMar>
              <w:top w:type="dxa" w:w="90"/>
              <w:left w:type="dxa" w:w="120"/>
              <w:bottom w:type="dxa" w:w="90"/>
              <w:right w:type="dxa" w:w="120"/>
            </w:tcMar>
            <w:vAlign w:val="center"/>
          </w:tcPr>
          <w:p>
            <w:r>
              <w:rPr>
                <w:sz w:val="19"/>
                <w:szCs w:val="19"/>
              </w:rPr>
              <w:t xml:space="preserve">Login accounts: name, email, hashed password, role, active flag.</w:t>
            </w:r>
          </w:p>
        </w:tc>
      </w:tr>
      <w:tr>
        <w:tc>
          <w:tcPr>
            <w:tcW w:type="dxa" w:w="2500"/>
            <w:shd w:fill="EEF3F8" w:val="clear"/>
            <w:tcMar>
              <w:top w:type="dxa" w:w="90"/>
              <w:left w:type="dxa" w:w="120"/>
              <w:bottom w:type="dxa" w:w="90"/>
              <w:right w:type="dxa" w:w="120"/>
            </w:tcMar>
            <w:vAlign w:val="center"/>
          </w:tcPr>
          <w:p>
            <w:r>
              <w:rPr>
                <w:sz w:val="19"/>
                <w:szCs w:val="19"/>
              </w:rPr>
              <w:t xml:space="preserve">UserPermission</w:t>
            </w:r>
          </w:p>
        </w:tc>
        <w:tc>
          <w:tcPr>
            <w:tcW w:type="dxa" w:w="6850"/>
            <w:shd w:fill="EEF3F8" w:val="clear"/>
            <w:tcMar>
              <w:top w:type="dxa" w:w="90"/>
              <w:left w:type="dxa" w:w="120"/>
              <w:bottom w:type="dxa" w:w="90"/>
              <w:right w:type="dxa" w:w="120"/>
            </w:tcMar>
            <w:vAlign w:val="center"/>
          </w:tcPr>
          <w:p>
            <w:r>
              <w:rPr>
                <w:sz w:val="19"/>
                <w:szCs w:val="19"/>
              </w:rPr>
              <w:t xml:space="preserve">Per-user, per-screen access override layered on the role default.</w:t>
            </w:r>
          </w:p>
        </w:tc>
      </w:tr>
      <w:tr>
        <w:tc>
          <w:tcPr>
            <w:tcW w:type="dxa" w:w="2500"/>
            <w:shd w:fill="FFFFFF" w:val="clear"/>
            <w:tcMar>
              <w:top w:type="dxa" w:w="90"/>
              <w:left w:type="dxa" w:w="120"/>
              <w:bottom w:type="dxa" w:w="90"/>
              <w:right w:type="dxa" w:w="120"/>
            </w:tcMar>
            <w:vAlign w:val="center"/>
          </w:tcPr>
          <w:p>
            <w:r>
              <w:rPr>
                <w:sz w:val="19"/>
                <w:szCs w:val="19"/>
              </w:rPr>
              <w:t xml:space="preserve">Company</w:t>
            </w:r>
          </w:p>
        </w:tc>
        <w:tc>
          <w:tcPr>
            <w:tcW w:type="dxa" w:w="6850"/>
            <w:shd w:fill="FFFFFF" w:val="clear"/>
            <w:tcMar>
              <w:top w:type="dxa" w:w="90"/>
              <w:left w:type="dxa" w:w="120"/>
              <w:bottom w:type="dxa" w:w="90"/>
              <w:right w:type="dxa" w:w="120"/>
            </w:tcMar>
            <w:vAlign w:val="center"/>
          </w:tcPr>
          <w:p>
            <w:r>
              <w:rPr>
                <w:sz w:val="19"/>
                <w:szCs w:val="19"/>
              </w:rPr>
              <w:t xml:space="preserve">Validated Company/SAP lookup referenced by every delivery record.</w:t>
            </w:r>
          </w:p>
        </w:tc>
      </w:tr>
      <w:tr>
        <w:tc>
          <w:tcPr>
            <w:tcW w:type="dxa" w:w="2500"/>
            <w:shd w:fill="EEF3F8" w:val="clear"/>
            <w:tcMar>
              <w:top w:type="dxa" w:w="90"/>
              <w:left w:type="dxa" w:w="120"/>
              <w:bottom w:type="dxa" w:w="90"/>
              <w:right w:type="dxa" w:w="120"/>
            </w:tcMar>
            <w:vAlign w:val="center"/>
          </w:tcPr>
          <w:p>
            <w:r>
              <w:rPr>
                <w:sz w:val="19"/>
                <w:szCs w:val="19"/>
              </w:rPr>
              <w:t xml:space="preserve">Customer / Supplier</w:t>
            </w:r>
          </w:p>
        </w:tc>
        <w:tc>
          <w:tcPr>
            <w:tcW w:type="dxa" w:w="6850"/>
            <w:shd w:fill="EEF3F8" w:val="clear"/>
            <w:tcMar>
              <w:top w:type="dxa" w:w="90"/>
              <w:left w:type="dxa" w:w="120"/>
              <w:bottom w:type="dxa" w:w="90"/>
              <w:right w:type="dxa" w:w="120"/>
            </w:tcMar>
            <w:vAlign w:val="center"/>
          </w:tcPr>
          <w:p>
            <w:r>
              <w:rPr>
                <w:sz w:val="19"/>
                <w:szCs w:val="19"/>
              </w:rPr>
              <w:t xml:space="preserve">Relationship-management directories, not tied to specific records.</w:t>
            </w:r>
          </w:p>
        </w:tc>
      </w:tr>
      <w:tr>
        <w:tc>
          <w:tcPr>
            <w:tcW w:type="dxa" w:w="2500"/>
            <w:shd w:fill="FFFFFF" w:val="clear"/>
            <w:tcMar>
              <w:top w:type="dxa" w:w="90"/>
              <w:left w:type="dxa" w:w="120"/>
              <w:bottom w:type="dxa" w:w="90"/>
              <w:right w:type="dxa" w:w="120"/>
            </w:tcMar>
            <w:vAlign w:val="center"/>
          </w:tcPr>
          <w:p>
            <w:r>
              <w:rPr>
                <w:sz w:val="19"/>
                <w:szCs w:val="19"/>
              </w:rPr>
              <w:t xml:space="preserve">Driver</w:t>
            </w:r>
          </w:p>
        </w:tc>
        <w:tc>
          <w:tcPr>
            <w:tcW w:type="dxa" w:w="6850"/>
            <w:shd w:fill="FFFFFF" w:val="clear"/>
            <w:tcMar>
              <w:top w:type="dxa" w:w="90"/>
              <w:left w:type="dxa" w:w="120"/>
              <w:bottom w:type="dxa" w:w="90"/>
              <w:right w:type="dxa" w:w="120"/>
            </w:tcMar>
            <w:vAlign w:val="center"/>
          </w:tcPr>
          <w:p>
            <w:r>
              <w:rPr>
                <w:sz w:val="19"/>
                <w:szCs w:val="19"/>
              </w:rPr>
              <w:t xml:space="preserve">Driver/assistant directory with coverage areas and active flag.</w:t>
            </w:r>
          </w:p>
        </w:tc>
      </w:tr>
      <w:tr>
        <w:tc>
          <w:tcPr>
            <w:tcW w:type="dxa" w:w="2500"/>
            <w:shd w:fill="EEF3F8" w:val="clear"/>
            <w:tcMar>
              <w:top w:type="dxa" w:w="90"/>
              <w:left w:type="dxa" w:w="120"/>
              <w:bottom w:type="dxa" w:w="90"/>
              <w:right w:type="dxa" w:w="120"/>
            </w:tcMar>
            <w:vAlign w:val="center"/>
          </w:tcPr>
          <w:p>
            <w:r>
              <w:rPr>
                <w:sz w:val="19"/>
                <w:szCs w:val="19"/>
              </w:rPr>
              <w:t xml:space="preserve">DeliveryRecord</w:t>
            </w:r>
          </w:p>
        </w:tc>
        <w:tc>
          <w:tcPr>
            <w:tcW w:type="dxa" w:w="6850"/>
            <w:shd w:fill="EEF3F8" w:val="clear"/>
            <w:tcMar>
              <w:top w:type="dxa" w:w="90"/>
              <w:left w:type="dxa" w:w="120"/>
              <w:bottom w:type="dxa" w:w="90"/>
              <w:right w:type="dxa" w:w="120"/>
            </w:tcMar>
            <w:vAlign w:val="center"/>
          </w:tcPr>
          <w:p>
            <w:r>
              <w:rPr>
                <w:sz w:val="19"/>
                <w:szCs w:val="19"/>
              </w:rPr>
              <w:t xml:space="preserve">The core unified record for all five categories (Sales Orders, Deliveries, RMA, Accounting Collection, Procurement Pick-up), distinguished by a category field.</w:t>
            </w:r>
          </w:p>
        </w:tc>
      </w:tr>
      <w:tr>
        <w:tc>
          <w:tcPr>
            <w:tcW w:type="dxa" w:w="2500"/>
            <w:shd w:fill="FFFFFF" w:val="clear"/>
            <w:tcMar>
              <w:top w:type="dxa" w:w="90"/>
              <w:left w:type="dxa" w:w="120"/>
              <w:bottom w:type="dxa" w:w="90"/>
              <w:right w:type="dxa" w:w="120"/>
            </w:tcMar>
            <w:vAlign w:val="center"/>
          </w:tcPr>
          <w:p>
            <w:r>
              <w:rPr>
                <w:sz w:val="19"/>
                <w:szCs w:val="19"/>
              </w:rPr>
              <w:t xml:space="preserve">AuditLog</w:t>
            </w:r>
          </w:p>
        </w:tc>
        <w:tc>
          <w:tcPr>
            <w:tcW w:type="dxa" w:w="6850"/>
            <w:shd w:fill="FFFFFF" w:val="clear"/>
            <w:tcMar>
              <w:top w:type="dxa" w:w="90"/>
              <w:left w:type="dxa" w:w="120"/>
              <w:bottom w:type="dxa" w:w="90"/>
              <w:right w:type="dxa" w:w="120"/>
            </w:tcMar>
            <w:vAlign w:val="center"/>
          </w:tcPr>
          <w:p>
            <w:r>
              <w:rPr>
                <w:sz w:val="19"/>
                <w:szCs w:val="19"/>
              </w:rPr>
              <w:t xml:space="preserve">Generic structured audit trail: who changed what, and the before/after values.</w:t>
            </w:r>
          </w:p>
        </w:tc>
      </w:tr>
      <w:tr>
        <w:tc>
          <w:tcPr>
            <w:tcW w:type="dxa" w:w="2500"/>
            <w:shd w:fill="EEF3F8" w:val="clear"/>
            <w:tcMar>
              <w:top w:type="dxa" w:w="90"/>
              <w:left w:type="dxa" w:w="120"/>
              <w:bottom w:type="dxa" w:w="90"/>
              <w:right w:type="dxa" w:w="120"/>
            </w:tcMar>
            <w:vAlign w:val="center"/>
          </w:tcPr>
          <w:p>
            <w:r>
              <w:rPr>
                <w:sz w:val="19"/>
                <w:szCs w:val="19"/>
              </w:rPr>
              <w:t xml:space="preserve">RemarkLog / Comment</w:t>
            </w:r>
          </w:p>
        </w:tc>
        <w:tc>
          <w:tcPr>
            <w:tcW w:type="dxa" w:w="6850"/>
            <w:shd w:fill="EEF3F8" w:val="clear"/>
            <w:tcMar>
              <w:top w:type="dxa" w:w="90"/>
              <w:left w:type="dxa" w:w="120"/>
              <w:bottom w:type="dxa" w:w="90"/>
              <w:right w:type="dxa" w:w="120"/>
            </w:tcMar>
            <w:vAlign w:val="center"/>
          </w:tcPr>
          <w:p>
            <w:r>
              <w:rPr>
                <w:sz w:val="19"/>
                <w:szCs w:val="19"/>
              </w:rPr>
              <w:t xml:space="preserve">Free-text remark history and threaded discussion per record.</w:t>
            </w:r>
          </w:p>
        </w:tc>
      </w:tr>
      <w:tr>
        <w:tc>
          <w:tcPr>
            <w:tcW w:type="dxa" w:w="2500"/>
            <w:shd w:fill="FFFFFF" w:val="clear"/>
            <w:tcMar>
              <w:top w:type="dxa" w:w="90"/>
              <w:left w:type="dxa" w:w="120"/>
              <w:bottom w:type="dxa" w:w="90"/>
              <w:right w:type="dxa" w:w="120"/>
            </w:tcMar>
            <w:vAlign w:val="center"/>
          </w:tcPr>
          <w:p>
            <w:r>
              <w:rPr>
                <w:sz w:val="19"/>
                <w:szCs w:val="19"/>
              </w:rPr>
              <w:t xml:space="preserve">Notification / NotificationLog</w:t>
            </w:r>
          </w:p>
        </w:tc>
        <w:tc>
          <w:tcPr>
            <w:tcW w:type="dxa" w:w="6850"/>
            <w:shd w:fill="FFFFFF" w:val="clear"/>
            <w:tcMar>
              <w:top w:type="dxa" w:w="90"/>
              <w:left w:type="dxa" w:w="120"/>
              <w:bottom w:type="dxa" w:w="90"/>
              <w:right w:type="dxa" w:w="120"/>
            </w:tcMar>
            <w:vAlign w:val="center"/>
          </w:tcPr>
          <w:p>
            <w:r>
              <w:rPr>
                <w:sz w:val="19"/>
                <w:szCs w:val="19"/>
              </w:rPr>
              <w:t xml:space="preserve">In-app bell notifications, and a separate audit trail of outbound trigger events.</w:t>
            </w:r>
          </w:p>
        </w:tc>
      </w:tr>
      <w:tr>
        <w:tc>
          <w:tcPr>
            <w:tcW w:type="dxa" w:w="2500"/>
            <w:shd w:fill="EEF3F8" w:val="clear"/>
            <w:tcMar>
              <w:top w:type="dxa" w:w="90"/>
              <w:left w:type="dxa" w:w="120"/>
              <w:bottom w:type="dxa" w:w="90"/>
              <w:right w:type="dxa" w:w="120"/>
            </w:tcMar>
            <w:vAlign w:val="center"/>
          </w:tcPr>
          <w:p>
            <w:r>
              <w:rPr>
                <w:sz w:val="19"/>
                <w:szCs w:val="19"/>
              </w:rPr>
              <w:t xml:space="preserve">Product / InventoryItem / InventoryTransaction</w:t>
            </w:r>
          </w:p>
        </w:tc>
        <w:tc>
          <w:tcPr>
            <w:tcW w:type="dxa" w:w="6850"/>
            <w:shd w:fill="EEF3F8" w:val="clear"/>
            <w:tcMar>
              <w:top w:type="dxa" w:w="90"/>
              <w:left w:type="dxa" w:w="120"/>
              <w:bottom w:type="dxa" w:w="90"/>
              <w:right w:type="dxa" w:w="120"/>
            </w:tcMar>
            <w:vAlign w:val="center"/>
          </w:tcPr>
          <w:p>
            <w:r>
              <w:rPr>
                <w:sz w:val="19"/>
                <w:szCs w:val="19"/>
              </w:rPr>
              <w:t xml:space="preserve">SKU Master, current stock snapshot, and full movement ledger.</w:t>
            </w:r>
          </w:p>
        </w:tc>
      </w:tr>
      <w:tr>
        <w:tc>
          <w:tcPr>
            <w:tcW w:type="dxa" w:w="2500"/>
            <w:shd w:fill="FFFFFF" w:val="clear"/>
            <w:tcMar>
              <w:top w:type="dxa" w:w="90"/>
              <w:left w:type="dxa" w:w="120"/>
              <w:bottom w:type="dxa" w:w="90"/>
              <w:right w:type="dxa" w:w="120"/>
            </w:tcMar>
            <w:vAlign w:val="center"/>
          </w:tcPr>
          <w:p>
            <w:r>
              <w:rPr>
                <w:sz w:val="19"/>
                <w:szCs w:val="19"/>
              </w:rPr>
              <w:t xml:space="preserve">DailyStatusSnapshot</w:t>
            </w:r>
          </w:p>
        </w:tc>
        <w:tc>
          <w:tcPr>
            <w:tcW w:type="dxa" w:w="6850"/>
            <w:shd w:fill="FFFFFF" w:val="clear"/>
            <w:tcMar>
              <w:top w:type="dxa" w:w="90"/>
              <w:left w:type="dxa" w:w="120"/>
              <w:bottom w:type="dxa" w:w="90"/>
              <w:right w:type="dxa" w:w="120"/>
            </w:tcMar>
            <w:vAlign w:val="center"/>
          </w:tcPr>
          <w:p>
            <w:r>
              <w:rPr>
                <w:sz w:val="19"/>
                <w:szCs w:val="19"/>
              </w:rPr>
              <w:t xml:space="preserve">Daily rollup used to keep historical/statistical reporting fast.</w:t>
            </w:r>
          </w:p>
        </w:tc>
      </w:tr>
    </w:tbl>
    <w:p>
      <w:pPr>
        <w:pStyle w:val="Heading1"/>
        <w:spacing w:after="200" w:before="400"/>
      </w:pPr>
      <w:r>
        <w:t>9. Tech Stack</w:t>
      </w:r>
    </w:p>
    <w:p>
      <w:pPr>
        <w:pStyle w:val="Heading3"/>
        <w:spacing w:after="100" w:before="200"/>
      </w:pPr>
      <w:r>
        <w:t xml:space="preserve">Frontend</w:t>
      </w:r>
    </w:p>
    <w:p>
      <w:pPr>
        <w:spacing w:after="160"/>
      </w:pPr>
      <w:r>
        <w:t xml:space="preserve">React 19 + TypeScript, Vite 6, Tailwind CSS 4, Recharts, jsPDF, ExcelJS, docx.</w:t>
      </w:r>
    </w:p>
    <w:p>
      <w:pPr>
        <w:pStyle w:val="Heading3"/>
        <w:spacing w:after="100" w:before="200"/>
      </w:pPr>
      <w:r>
        <w:t xml:space="preserve">Backend</w:t>
      </w:r>
    </w:p>
    <w:p>
      <w:pPr>
        <w:spacing w:after="160"/>
      </w:pPr>
      <w:r>
        <w:t>Node.js + Express + TypeScript, Prisma ORM (PostgreSQL), JWT cookie auth (hardened for production/iframe contexts), bcryptjs, @azure/msal-node (Azure AD SSO), @azure/identity + @microsoft/microsoft-graph-client (Graph email), Nodemailer (SMTP fallback), unified mailer with a console-logged mock as the final fallback.</w:t>
      </w:r>
    </w:p>
    <w:p>
      <w:pPr>
        <w:pStyle w:val="Heading3"/>
        <w:spacing w:after="100" w:before="200"/>
      </w:pPr>
      <w:r>
        <w:t xml:space="preserve">Deployment</w:t>
      </w:r>
    </w:p>
    <w:p>
      <w:pPr>
        <w:spacing w:after="160"/>
      </w:pPr>
      <w:r>
        <w:t xml:space="preserve">Render, as a single web service serving the built frontend and the API from one Node process, backed by a managed Render PostgreSQL database. Every deploy runs database migrations and then re-runs the demo seed script — a deliberate convenience for a demo/evaluation deployment, but a real risk to flag before this is used with live transactional data.</w:t>
      </w:r>
    </w:p>
    <w:p>
      <w:pPr>
        <w:pStyle w:val="Heading1"/>
        <w:spacing w:after="200" w:before="400"/>
      </w:pPr>
      <w:r>
        <w:t>10. Getting Started (Summary)</w:t>
      </w:r>
    </w:p>
    <w:p>
      <w:pPr>
        <w:spacing w:after="160"/>
      </w:pPr>
      <w:r>
        <w:t xml:space="preserve">Full step-by-step instructions live in GETTING_STARTED.md in the repository. In short:</w:t>
      </w:r>
    </w:p>
    <w:p>
      <w:pPr>
        <w:pStyle w:val="ListParagraph"/>
        <w:numPr>
          <w:ilvl w:val="0"/>
          <w:numId w:val="2"/>
        </w:numPr>
        <w:spacing w:after="80"/>
      </w:pPr>
      <w:r>
        <w:t xml:space="preserve">Install dependencies in both the project root and the server/ folder.</w:t>
      </w:r>
    </w:p>
    <w:p>
      <w:pPr>
        <w:pStyle w:val="ListParagraph"/>
        <w:numPr>
          <w:ilvl w:val="0"/>
          <w:numId w:val="2"/>
        </w:numPr>
        <w:spacing w:after="80"/>
      </w:pPr>
      <w:r>
        <w:t>Provision a PostgreSQL database and copy server/.env.example to server/.env, filling in DATABASE_URL and JWT_SECRET. AZURE_* and SMTP_* variables are optional — leave them blank to keep Microsoft SSO disabled and email on the console-logged mock.</w:t>
      </w:r>
    </w:p>
    <w:p>
      <w:pPr>
        <w:pStyle w:val="ListParagraph"/>
        <w:numPr>
          <w:ilvl w:val="0"/>
          <w:numId w:val="2"/>
        </w:numPr>
        <w:spacing w:after="80"/>
      </w:pPr>
      <w:r>
        <w:t xml:space="preserve">Run npx prisma migrate dev, then npm run seed, from inside server/.</w:t>
      </w:r>
    </w:p>
    <w:p>
      <w:pPr>
        <w:pStyle w:val="ListParagraph"/>
        <w:numPr>
          <w:ilvl w:val="0"/>
          <w:numId w:val="2"/>
        </w:numPr>
        <w:spacing w:after="80"/>
      </w:pPr>
      <w:r>
        <w:t xml:space="preserve">Run the backend (npm run dev in server/, port 4000) and the frontend (npm run dev at the root, port 3000) at the same time.</w:t>
      </w:r>
    </w:p>
    <w:p>
      <w:pPr>
        <w:pStyle w:val="ListParagraph"/>
        <w:numPr>
          <w:ilvl w:val="0"/>
          <w:numId w:val="2"/>
        </w:numPr>
        <w:spacing w:after="80"/>
      </w:pPr>
      <w:r>
        <w:t xml:space="preserve">Log in at localhost:3000 with one of the seeded demo accounts.</w:t>
      </w:r>
    </w:p>
    <w:p>
      <w:pPr>
        <w:pStyle w:val="Heading1"/>
        <w:spacing w:after="200" w:before="400"/>
      </w:pPr>
      <w:r>
        <w:t>11. Things Not to Break</w:t>
      </w:r>
    </w:p>
    <w:p>
      <w:pPr>
        <w:spacing w:after="160"/>
      </w:pPr>
      <w:r>
        <w:t xml:space="preserve">The full list, with reasoning, lives in DONT_BREAK_THIS.md in the repository. Highlights:</w:t>
      </w:r>
    </w:p>
    <w:p>
      <w:pPr>
        <w:pStyle w:val="ListParagraph"/>
        <w:numPr>
          <w:ilvl w:val="0"/>
          <w:numId w:val="2"/>
        </w:numPr>
        <w:spacing w:after="80"/>
      </w:pPr>
      <w:r>
        <w:rPr>
          <w:b/>
          <w:bCs/>
        </w:rPr>
        <w:t xml:space="preserve">One unified DeliveryRecord table. </w:t>
      </w:r>
      <w:r>
        <w:t xml:space="preserve">Don't split it into five tables per category — the audit trail, export engine, and reporting all depend on it staying one table.</w:t>
      </w:r>
    </w:p>
    <w:p>
      <w:pPr>
        <w:pStyle w:val="ListParagraph"/>
        <w:numPr>
          <w:ilvl w:val="0"/>
          <w:numId w:val="2"/>
        </w:numPr>
        <w:spacing w:after="80"/>
      </w:pPr>
      <w:r>
        <w:rPr>
          <w:b/>
          <w:bCs/>
        </w:rPr>
        <w:t xml:space="preserve">Permissions are checked in two places. </w:t>
      </w:r>
      <w:r>
        <w:t xml:space="preserve">Changing frontend visibility without updating the backend requireRole check creates either a security hole or a confusing bug.</w:t>
      </w:r>
    </w:p>
    <w:p>
      <w:pPr>
        <w:pStyle w:val="ListParagraph"/>
        <w:numPr>
          <w:ilvl w:val="0"/>
          <w:numId w:val="2"/>
        </w:numPr>
        <w:spacing w:after="80"/>
      </w:pPr>
      <w:r>
        <w:t>Five of six Output Action triggers now send real email; Record Created is the one still simulated, and only because it fires before the record has an ID. Don't assume a toggle for the other five is fake, and don't wire Record Created to a real send without moving the call to after the record is persisted.</w:t>
      </w:r>
    </w:p>
    <w:p>
      <w:pPr>
        <w:pStyle w:val="ListParagraph"/>
        <w:numPr>
          <w:ilvl w:val="0"/>
          <w:numId w:val="2"/>
        </w:numPr>
        <w:spacing w:after="80"/>
      </w:pPr>
      <w:r>
        <w:rPr>
          <w:b/>
          <w:bCs/>
        </w:rPr>
        <w:t xml:space="preserve">Database changes go through Prisma migrations, never by hand. </w:t>
      </w:r>
      <w:r>
        <w:t xml:space="preserve">Edit schema.prisma, then run npx prisma migrate dev — never edit the database directly.</w:t>
      </w:r>
    </w:p>
    <w:p>
      <w:pPr>
        <w:pStyle w:val="ListParagraph"/>
        <w:numPr>
          <w:ilvl w:val="0"/>
          <w:numId w:val="2"/>
        </w:numPr>
        <w:spacing w:after="80"/>
      </w:pPr>
      <w:r>
        <w:rPr>
          <w:b/>
          <w:bCs/>
        </w:rPr>
        <w:t xml:space="preserve">Production re-runs the seed script on every deploy. </w:t>
      </w:r>
      <w:r>
        <w:t xml:space="preserve">A bad migration or an unintended seed re-run goes straight at the live database, with no manual approval step.</w:t>
      </w:r>
    </w:p>
    <w:p>
      <w:pPr>
        <w:pStyle w:val="ListParagraph"/>
        <w:numPr>
          <w:ilvl w:val="0"/>
          <w:numId w:val="2"/>
        </w:numPr>
        <w:spacing w:after="80"/>
      </w:pPr>
      <w:r>
        <w:rPr>
          <w:b/>
          <w:bCs/>
        </w:rPr>
        <w:t xml:space="preserve">TASS's role is not finalized. </w:t>
      </w:r>
      <w:r>
        <w:t xml:space="preserve">Treat its current permissions as a guess, not a spec — see Section 3.</w:t>
      </w:r>
    </w:p>
    <w:p>
      <w:pPr>
        <w:pStyle w:val="Heading1"/>
        <w:spacing w:after="200" w:before="400"/>
      </w:pPr>
      <w:r>
        <w:t>12. Known Limitations</w:t>
      </w:r>
    </w:p>
    <w:p>
      <w:pPr>
        <w:pStyle w:val="ListParagraph"/>
        <w:numPr>
          <w:ilvl w:val="0"/>
          <w:numId w:val="2"/>
        </w:numPr>
        <w:spacing w:after="80"/>
      </w:pPr>
      <w:r>
        <w:t xml:space="preserve">Driver is a real login role; the Dispatch Board still exists for Logistics to act on a driver's behalf.</w:t>
      </w:r>
    </w:p>
    <w:p>
      <w:pPr>
        <w:pStyle w:val="ListParagraph"/>
        <w:numPr>
          <w:ilvl w:val="0"/>
          <w:numId w:val="2"/>
        </w:numPr>
        <w:spacing w:after="80"/>
      </w:pPr>
      <w:r>
        <w:t xml:space="preserve">TASS's scope is narrowed to Accounting Collection, RMA, and Procurement Pick-up records, read-only outside collection verification.</w:t>
      </w:r>
    </w:p>
    <w:p>
      <w:pPr>
        <w:pStyle w:val="ListParagraph"/>
        <w:numPr>
          <w:ilvl w:val="0"/>
          <w:numId w:val="2"/>
        </w:numPr>
        <w:spacing w:after="80"/>
      </w:pPr>
      <w:r>
        <w:t xml:space="preserve">Sales Coordinator can create and fully edit a record but cannot assign a driver or change status, enforcing separation of duties.</w:t>
      </w:r>
    </w:p>
    <w:p>
      <w:pPr>
        <w:pStyle w:val="ListParagraph"/>
        <w:numPr>
          <w:ilvl w:val="0"/>
          <w:numId w:val="2"/>
        </w:numPr>
        <w:spacing w:after="80"/>
      </w:pPr>
      <w:r>
        <w:t xml:space="preserve">The Warehouses module exists in the codebase but is deliberately retired and unreachable from the UI.</w:t>
      </w:r>
    </w:p>
    <w:p>
      <w:pPr>
        <w:pStyle w:val="ListParagraph"/>
        <w:numPr>
          <w:ilvl w:val="0"/>
          <w:numId w:val="2"/>
        </w:numPr>
        <w:spacing w:after="80"/>
      </w:pPr>
      <w:r>
        <w:t xml:space="preserve">Document Attachments are filename-only — no file bytes are uploaded or stored.</w:t>
      </w:r>
    </w:p>
    <w:p>
      <w:pPr>
        <w:pStyle w:val="ListParagraph"/>
        <w:numPr>
          <w:ilvl w:val="0"/>
          <w:numId w:val="2"/>
        </w:numPr>
        <w:spacing w:after="80"/>
      </w:pPr>
      <w:r>
        <w:t>Record Created is the one Output Action trigger not wired to real email — it fires before the record has an ID; the other five (Accomplished, Rescheduled, On-Hold, RMA Completed, Collection Verified) dispatch real email.</w:t>
      </w:r>
    </w:p>
    <w:p>
      <w:pPr>
        <w:pStyle w:val="ListParagraph"/>
        <w:numPr>
          <w:ilvl w:val="0"/>
          <w:numId w:val="2"/>
        </w:numPr>
        <w:spacing w:after="80"/>
      </w:pPr>
      <w:r>
        <w:t>Email defaults to a console-logged mock; real delivery requires configuring either Microsoft Graph (AZURE_* variables) or SMTP (SMTP_* variables).</w:t>
      </w:r>
    </w:p>
    <w:p>
      <w:pPr>
        <w:pStyle w:val="ListParagraph"/>
        <w:numPr>
          <w:ilvl w:val="0"/>
          <w:numId w:val="2"/>
        </w:numPr>
        <w:spacing w:after="80"/>
      </w:pPr>
      <w:r>
        <w:t xml:space="preserve">Inventory currently models a single warehouse location per SKU, not multi-warehouse allocation.</w:t>
      </w:r>
    </w:p>
    <w:p>
      <w:pPr>
        <w:pStyle w:val="ListParagraph"/>
        <w:numPr>
          <w:ilvl w:val="0"/>
          <w:numId w:val="2"/>
        </w:numPr>
        <w:spacing w:after="80"/>
      </w:pPr>
      <w:r>
        <w:t>Microsoft SSO auto-provisions new users as Sales Coordinator (the lowest-privilege role); an Admin must manually promote them if a different role is needed.</w:t>
      </w:r>
    </w:p>
    <w:p>
      <w:pPr>
        <w:pStyle w:val="Heading1"/>
        <w:spacing w:after="200" w:before="400"/>
      </w:pPr>
      <w:r>
        <w:t>13. Glossary</w:t>
      </w:r>
    </w:p>
    <w:p>
      <w:pPr>
        <w:spacing w:after="160"/>
      </w:pPr>
      <w:r>
        <w:t xml:space="preserve">Full definitions live in docs/GLOSSARY.md. Key terms:</w:t>
      </w:r>
    </w:p>
    <w:p>
      <w:pPr>
        <w:pStyle w:val="ListParagraph"/>
        <w:numPr>
          <w:ilvl w:val="0"/>
          <w:numId w:val="2"/>
        </w:numPr>
        <w:spacing w:after="80"/>
      </w:pPr>
      <w:r>
        <w:rPr>
          <w:b/>
          <w:bCs/>
        </w:rPr>
        <w:t xml:space="preserve">TASS </w:t>
      </w:r>
      <w:r>
        <w:t xml:space="preserve">— Technical Admin System Services. One of the five login roles; responsibilities not yet confirmed with the department (see Section 3).</w:t>
      </w:r>
    </w:p>
    <w:p>
      <w:pPr>
        <w:pStyle w:val="ListParagraph"/>
        <w:numPr>
          <w:ilvl w:val="0"/>
          <w:numId w:val="2"/>
        </w:numPr>
        <w:spacing w:after="80"/>
      </w:pPr>
      <w:r>
        <w:rPr>
          <w:b/>
          <w:bCs/>
        </w:rPr>
        <w:t xml:space="preserve">RMA </w:t>
      </w:r>
      <w:r>
        <w:t xml:space="preserve">— Return Merchandise Authorization, a record category for handling product returns.</w:t>
      </w:r>
    </w:p>
    <w:p>
      <w:pPr>
        <w:pStyle w:val="ListParagraph"/>
        <w:numPr>
          <w:ilvl w:val="0"/>
          <w:numId w:val="2"/>
        </w:numPr>
        <w:spacing w:after="80"/>
      </w:pPr>
      <w:r>
        <w:rPr>
          <w:b/>
          <w:bCs/>
        </w:rPr>
        <w:t xml:space="preserve">SKU / SKU Master </w:t>
      </w:r>
      <w:r>
        <w:t xml:space="preserve">— Stock Keeping Unit; the master product directory tracked for inventory.</w:t>
      </w:r>
    </w:p>
    <w:p>
      <w:pPr>
        <w:pStyle w:val="ListParagraph"/>
        <w:numPr>
          <w:ilvl w:val="0"/>
          <w:numId w:val="2"/>
        </w:numPr>
        <w:spacing w:after="80"/>
      </w:pPr>
      <w:r>
        <w:rPr>
          <w:b/>
          <w:bCs/>
        </w:rPr>
        <w:t xml:space="preserve">RBAC </w:t>
      </w:r>
      <w:r>
        <w:t xml:space="preserve">— Role-Based Access Control, enforced on both frontend and backend.</w:t>
      </w:r>
    </w:p>
    <w:p>
      <w:pPr>
        <w:pStyle w:val="ListParagraph"/>
        <w:numPr>
          <w:ilvl w:val="0"/>
          <w:numId w:val="2"/>
        </w:numPr>
        <w:spacing w:after="80"/>
      </w:pPr>
      <w:r>
        <w:rPr>
          <w:b/>
          <w:bCs/>
        </w:rPr>
        <w:t xml:space="preserve">Migration </w:t>
      </w:r>
      <w:r>
        <w:t xml:space="preserve">— a recorded, versioned change to the database structure, created via Prisma.</w:t>
      </w:r>
    </w:p>
    <w:p>
      <w:pPr>
        <w:pStyle w:val="ListParagraph"/>
        <w:numPr>
          <w:ilvl w:val="0"/>
          <w:numId w:val="2"/>
        </w:numPr>
        <w:spacing w:after="80"/>
      </w:pPr>
      <w:r>
        <w:rPr>
          <w:b/>
          <w:bCs/>
        </w:rPr>
        <w:t xml:space="preserve">Seed / Seeding </w:t>
      </w:r>
      <w:r>
        <w:t xml:space="preserve">— loading a fixed set of demo data into an empty database.</w:t>
      </w:r>
    </w:p>
    <w:p>
      <w:pPr>
        <w:pStyle w:val="ListParagraph"/>
        <w:numPr>
          <w:ilvl w:val="0"/>
          <w:numId w:val="2"/>
        </w:numPr>
        <w:spacing w:after="80"/>
      </w:pPr>
      <w:r>
        <w:rPr>
          <w:b/>
          <w:bCs/>
        </w:rPr>
        <w:t xml:space="preserve">Output Actions </w:t>
      </w:r>
      <w:r>
        <w:t xml:space="preserve">— the configurable panel controlling what happens on a record event; mostly simulated today.</w:t>
      </w:r>
    </w:p>
    <w:p>
      <w:pPr>
        <w:pStyle w:val="ListParagraph"/>
        <w:numPr>
          <w:ilvl w:val="0"/>
          <w:numId w:val="2"/>
        </w:numPr>
        <w:spacing w:after="80"/>
      </w:pPr>
      <w:r>
        <w:t>Status Trail (export) — an export mode counting a record under every status it has ever held, not just its current one; built at Logistics' request. See Section 6.</w:t>
      </w:r>
    </w:p>
    <w:p>
      <w:pPr>
        <w:pBdr>
          <w:top w:val="single" w:color="CCCCCC" w:sz="4" w:space="8"/>
        </w:pBdr>
        <w:spacing w:before="400"/>
      </w:pPr>
      <w:r>
        <w:rPr>
          <w:i/>
          <w:iCs/>
          <w:color w:val="595959"/>
          <w:sz w:val="18"/>
          <w:szCs w:val="18"/>
        </w:rPr>
        <w:t xml:space="preserve">This document is a summary generated from the project repository. For the authoritative, up-to-date detail, see README.md, GETTING_STARTED.md, DONT_BREAK_THIS.md, docs/ROLES.md, and docs/GLOSSARY.md.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Microgenesis Supply Chain Portal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C1" w:sz="6"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0078C1"/>
      <w:sz w:val="26"/>
      <w:szCs w:val="26"/>
    </w:rPr>
  </w:style>
  <w:style w:type="paragraph" w:styleId="Heading3">
    <w:name w:val="Heading 3"/>
    <w:basedOn w:val="Normal"/>
    <w:next w:val="Normal"/>
    <w:qFormat/>
    <w:pPr>
      <w:spacing w:after="100" w:before="200"/>
    </w:pPr>
    <w:rPr>
      <w:rFonts w:ascii="Calibri" w:cs="Calibri" w:eastAsia="Calibri" w:hAnsi="Calibri"/>
      <w:b/>
      <w:bCs/>
      <w:i w:val="false"/>
      <w:iCs w:val="false"/>
      <w:color w:val="333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2026-08-04T05:57:13.703Z</dcterms:created>
  <dcterms:modified xsi:type="dcterms:W3CDTF">2026-08-04T05:57:13.720Z</dcterms:modified>
</cp:coreProperties>
</file>

<file path=docProps/custom.xml><?xml version="1.0" encoding="utf-8"?>
<Properties xmlns="http://schemas.openxmlformats.org/officeDocument/2006/custom-properties" xmlns:vt="http://schemas.openxmlformats.org/officeDocument/2006/docPropsVTypes"/>
</file>