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Rahmani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Monsieur Abdelli Aniss</w:t>
      </w:r>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le Ministère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3887006F"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6927F3">
        <w:rPr>
          <w:rFonts w:asciiTheme="majorBidi" w:hAnsiTheme="majorBidi" w:cstheme="majorBidi"/>
          <w:b/>
          <w:bCs/>
          <w:i/>
          <w:iCs/>
          <w:sz w:val="28"/>
          <w:szCs w:val="28"/>
        </w:rPr>
        <w:t xml:space="preserve"> </w:t>
      </w:r>
      <w:r w:rsidR="006927F3">
        <w:rPr>
          <w:rFonts w:asciiTheme="majorBidi" w:hAnsiTheme="majorBidi" w:cstheme="majorBidi"/>
          <w:b/>
          <w:bCs/>
          <w:i/>
          <w:iCs/>
          <w:color w:val="FF0000"/>
          <w:sz w:val="28"/>
          <w:szCs w:val="28"/>
        </w:rPr>
        <w:t>est prévu pour l’organigramme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fournissant des statistiques sur les types d'attaques les plus courantes et les méthodes les plus efficaces pour s'en protéger, cette plateforme peut également aider les utilisateurs algériens à mieux comprendre les risques potentiels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5ECD6772"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détaillée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27C55290" w:rsidR="000B2B9F" w:rsidRPr="00C451D5" w:rsidRDefault="000B2B9F"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p>
    <w:p w14:paraId="4ACA7C6C" w14:textId="77777777" w:rsidR="000B2B9F" w:rsidRDefault="000B2B9F">
      <w:pPr>
        <w:rPr>
          <w:rFonts w:asciiTheme="majorBidi" w:hAnsiTheme="majorBidi" w:cstheme="majorBidi"/>
          <w:sz w:val="24"/>
          <w:szCs w:val="24"/>
        </w:rPr>
      </w:pPr>
    </w:p>
    <w:p w14:paraId="0008D99A" w14:textId="77777777" w:rsidR="000B2B9F" w:rsidRDefault="000B2B9F">
      <w:pPr>
        <w:rPr>
          <w:rFonts w:asciiTheme="majorBidi" w:hAnsiTheme="majorBidi" w:cstheme="majorBidi"/>
          <w:sz w:val="24"/>
          <w:szCs w:val="24"/>
        </w:rPr>
      </w:pPr>
    </w:p>
    <w:p w14:paraId="3D210928" w14:textId="77777777" w:rsidR="000B2B9F" w:rsidRDefault="000B2B9F">
      <w:pPr>
        <w:rPr>
          <w:rFonts w:asciiTheme="majorBidi" w:hAnsiTheme="majorBidi" w:cstheme="majorBidi"/>
          <w:sz w:val="24"/>
          <w:szCs w:val="24"/>
        </w:rPr>
      </w:pPr>
    </w:p>
    <w:p w14:paraId="57EBC7EC" w14:textId="77777777" w:rsidR="000B2B9F" w:rsidRDefault="000B2B9F">
      <w:pPr>
        <w:rPr>
          <w:rFonts w:asciiTheme="majorBidi" w:hAnsiTheme="majorBidi" w:cstheme="majorBidi"/>
          <w:sz w:val="24"/>
          <w:szCs w:val="24"/>
        </w:rPr>
      </w:pPr>
    </w:p>
    <w:p w14:paraId="38A6FE62" w14:textId="77777777" w:rsidR="000B2B9F" w:rsidRDefault="000B2B9F">
      <w:pPr>
        <w:rPr>
          <w:rFonts w:asciiTheme="majorBidi" w:hAnsiTheme="majorBidi" w:cstheme="majorBidi"/>
          <w:sz w:val="24"/>
          <w:szCs w:val="24"/>
        </w:rPr>
      </w:pPr>
    </w:p>
    <w:p w14:paraId="4FF2C0EA" w14:textId="77777777" w:rsidR="000B2B9F" w:rsidRDefault="000B2B9F">
      <w:pPr>
        <w:rPr>
          <w:rFonts w:asciiTheme="majorBidi" w:hAnsiTheme="majorBidi" w:cstheme="majorBidi"/>
          <w:sz w:val="24"/>
          <w:szCs w:val="24"/>
        </w:rPr>
      </w:pPr>
    </w:p>
    <w:p w14:paraId="55599C20" w14:textId="77777777" w:rsidR="000B2B9F" w:rsidRDefault="000B2B9F">
      <w:pPr>
        <w:rPr>
          <w:rFonts w:asciiTheme="majorBidi" w:hAnsiTheme="majorBidi" w:cstheme="majorBidi"/>
          <w:sz w:val="24"/>
          <w:szCs w:val="24"/>
        </w:rPr>
      </w:pPr>
    </w:p>
    <w:p w14:paraId="1E87542A" w14:textId="77777777" w:rsidR="000B2B9F" w:rsidRDefault="000B2B9F">
      <w:pPr>
        <w:rPr>
          <w:rFonts w:asciiTheme="majorBidi" w:hAnsiTheme="majorBidi" w:cstheme="majorBidi"/>
          <w:sz w:val="24"/>
          <w:szCs w:val="24"/>
        </w:rPr>
      </w:pPr>
    </w:p>
    <w:p w14:paraId="51332A85" w14:textId="77777777" w:rsidR="000B2B9F" w:rsidRDefault="000B2B9F">
      <w:pPr>
        <w:rPr>
          <w:rFonts w:asciiTheme="majorBidi" w:hAnsiTheme="majorBidi" w:cstheme="majorBidi"/>
          <w:sz w:val="24"/>
          <w:szCs w:val="24"/>
        </w:rPr>
      </w:pPr>
    </w:p>
    <w:p w14:paraId="2FCB3E5C" w14:textId="77777777" w:rsidR="000B2B9F" w:rsidRDefault="000B2B9F">
      <w:pPr>
        <w:rPr>
          <w:rFonts w:asciiTheme="majorBidi" w:hAnsiTheme="majorBidi" w:cstheme="majorBidi"/>
          <w:sz w:val="24"/>
          <w:szCs w:val="24"/>
        </w:rPr>
      </w:pPr>
    </w:p>
    <w:p w14:paraId="3DCE3B52" w14:textId="77777777" w:rsidR="000B2B9F" w:rsidRDefault="000B2B9F">
      <w:pPr>
        <w:rPr>
          <w:rFonts w:asciiTheme="majorBidi" w:hAnsiTheme="majorBidi" w:cstheme="majorBidi"/>
          <w:sz w:val="24"/>
          <w:szCs w:val="24"/>
        </w:rPr>
      </w:pPr>
    </w:p>
    <w:p w14:paraId="7D752AD4" w14:textId="77777777" w:rsidR="000B2B9F" w:rsidRDefault="000B2B9F">
      <w:pPr>
        <w:rPr>
          <w:rFonts w:asciiTheme="majorBidi" w:hAnsiTheme="majorBidi" w:cstheme="majorBidi"/>
          <w:sz w:val="24"/>
          <w:szCs w:val="24"/>
        </w:rPr>
      </w:pPr>
    </w:p>
    <w:p w14:paraId="7440DBFD" w14:textId="77777777" w:rsidR="000B2B9F" w:rsidRDefault="000B2B9F">
      <w:pPr>
        <w:rPr>
          <w:rFonts w:asciiTheme="majorBidi" w:hAnsiTheme="majorBidi" w:cstheme="majorBidi"/>
          <w:sz w:val="24"/>
          <w:szCs w:val="24"/>
        </w:rPr>
      </w:pPr>
    </w:p>
    <w:p w14:paraId="161B5F90" w14:textId="77777777" w:rsidR="000B2B9F" w:rsidRDefault="000B2B9F">
      <w:pPr>
        <w:rPr>
          <w:rFonts w:asciiTheme="majorBidi" w:hAnsiTheme="majorBidi" w:cstheme="majorBidi"/>
          <w:sz w:val="24"/>
          <w:szCs w:val="24"/>
        </w:rPr>
      </w:pPr>
    </w:p>
    <w:p w14:paraId="7F5EF253" w14:textId="77777777" w:rsidR="000B2B9F" w:rsidRDefault="000B2B9F">
      <w:pPr>
        <w:rPr>
          <w:rFonts w:asciiTheme="majorBidi" w:hAnsiTheme="majorBidi" w:cstheme="majorBidi"/>
          <w:sz w:val="24"/>
          <w:szCs w:val="24"/>
        </w:rPr>
      </w:pPr>
    </w:p>
    <w:p w14:paraId="647E4C2A" w14:textId="77777777" w:rsidR="000B2B9F" w:rsidRDefault="000B2B9F">
      <w:pPr>
        <w:rPr>
          <w:rFonts w:asciiTheme="majorBidi" w:hAnsiTheme="majorBidi" w:cstheme="majorBidi"/>
          <w:sz w:val="24"/>
          <w:szCs w:val="24"/>
        </w:rPr>
      </w:pPr>
    </w:p>
    <w:p w14:paraId="2207EAE9" w14:textId="77777777" w:rsidR="000B2B9F" w:rsidRDefault="000B2B9F">
      <w:pPr>
        <w:rPr>
          <w:rFonts w:asciiTheme="majorBidi" w:hAnsiTheme="majorBidi" w:cstheme="majorBidi"/>
          <w:sz w:val="24"/>
          <w:szCs w:val="24"/>
        </w:rPr>
      </w:pPr>
    </w:p>
    <w:p w14:paraId="36626D8D" w14:textId="77777777" w:rsidR="000B2B9F" w:rsidRDefault="000B2B9F">
      <w:pPr>
        <w:rPr>
          <w:rFonts w:asciiTheme="majorBidi" w:hAnsiTheme="majorBidi" w:cstheme="majorBidi"/>
          <w:sz w:val="24"/>
          <w:szCs w:val="24"/>
        </w:rPr>
      </w:pPr>
    </w:p>
    <w:p w14:paraId="3030D518" w14:textId="77777777" w:rsidR="000B2B9F" w:rsidRDefault="000B2B9F">
      <w:pPr>
        <w:rPr>
          <w:rFonts w:asciiTheme="majorBidi" w:hAnsiTheme="majorBidi" w:cstheme="majorBidi"/>
          <w:sz w:val="24"/>
          <w:szCs w:val="24"/>
        </w:rPr>
      </w:pPr>
    </w:p>
    <w:p w14:paraId="2B5B97C4" w14:textId="77777777" w:rsidR="000B2B9F" w:rsidRDefault="000B2B9F">
      <w:pPr>
        <w:rPr>
          <w:rFonts w:asciiTheme="majorBidi" w:hAnsiTheme="majorBidi" w:cstheme="majorBidi"/>
          <w:sz w:val="24"/>
          <w:szCs w:val="24"/>
        </w:rPr>
      </w:pPr>
    </w:p>
    <w:p w14:paraId="0F260858" w14:textId="77777777" w:rsidR="000B2B9F" w:rsidRDefault="000B2B9F">
      <w:pPr>
        <w:rPr>
          <w:rFonts w:asciiTheme="majorBidi" w:hAnsiTheme="majorBidi" w:cstheme="majorBidi"/>
          <w:sz w:val="24"/>
          <w:szCs w:val="24"/>
        </w:rPr>
      </w:pPr>
    </w:p>
    <w:p w14:paraId="3EF283F2" w14:textId="77777777" w:rsidR="000B2B9F" w:rsidRDefault="000B2B9F">
      <w:pPr>
        <w:rPr>
          <w:rFonts w:asciiTheme="majorBidi" w:hAnsiTheme="majorBidi" w:cstheme="majorBidi"/>
          <w:sz w:val="24"/>
          <w:szCs w:val="24"/>
        </w:rPr>
      </w:pPr>
    </w:p>
    <w:p w14:paraId="784CFA5B" w14:textId="77777777" w:rsidR="000B2B9F" w:rsidRDefault="000B2B9F">
      <w:pPr>
        <w:rPr>
          <w:rFonts w:asciiTheme="majorBidi" w:hAnsiTheme="majorBidi" w:cstheme="majorBidi"/>
          <w:sz w:val="24"/>
          <w:szCs w:val="24"/>
        </w:rPr>
      </w:pPr>
    </w:p>
    <w:p w14:paraId="338304EC" w14:textId="77777777" w:rsidR="000B2B9F" w:rsidRDefault="000B2B9F">
      <w:pPr>
        <w:rPr>
          <w:rFonts w:asciiTheme="majorBidi" w:hAnsiTheme="majorBidi" w:cstheme="majorBidi"/>
          <w:sz w:val="24"/>
          <w:szCs w:val="24"/>
        </w:rPr>
      </w:pPr>
    </w:p>
    <w:p w14:paraId="475BC959" w14:textId="77777777" w:rsidR="000B2B9F" w:rsidRDefault="000B2B9F">
      <w:pPr>
        <w:rPr>
          <w:rFonts w:asciiTheme="majorBidi" w:hAnsiTheme="majorBidi" w:cstheme="majorBidi"/>
          <w:sz w:val="24"/>
          <w:szCs w:val="24"/>
        </w:rPr>
      </w:pPr>
    </w:p>
    <w:p w14:paraId="17B11038" w14:textId="77777777" w:rsidR="000B2B9F" w:rsidRDefault="000B2B9F">
      <w:pPr>
        <w:rPr>
          <w:rFonts w:asciiTheme="majorBidi" w:hAnsiTheme="majorBidi" w:cstheme="majorBidi"/>
          <w:sz w:val="24"/>
          <w:szCs w:val="24"/>
        </w:rPr>
      </w:pPr>
    </w:p>
    <w:p w14:paraId="696B6A9B" w14:textId="77777777" w:rsidR="000B2B9F" w:rsidRDefault="000B2B9F">
      <w:pPr>
        <w:rPr>
          <w:rFonts w:asciiTheme="majorBidi" w:hAnsiTheme="majorBidi" w:cstheme="majorBidi"/>
          <w:sz w:val="24"/>
          <w:szCs w:val="24"/>
        </w:rPr>
      </w:pPr>
    </w:p>
    <w:p w14:paraId="0A7DA2F9" w14:textId="77777777" w:rsidR="00D93A46" w:rsidRDefault="00D93A46">
      <w:pPr>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Pr="00721EA2" w:rsidRDefault="00AC67A6" w:rsidP="00AC67A6">
      <w:pPr>
        <w:pStyle w:val="ListParagraph"/>
        <w:spacing w:line="360" w:lineRule="auto"/>
        <w:jc w:val="both"/>
        <w:rPr>
          <w:rFonts w:asciiTheme="majorBidi" w:hAnsiTheme="majorBidi"/>
          <w:color w:val="000000" w:themeColor="text1"/>
          <w:sz w:val="24"/>
          <w:szCs w:val="24"/>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(Hypertext Markup Language),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Generalized Markup Language).</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(Cascading Style Sheets), forment un langage informatique qui décrit la présentation des documents HTML et XML(Extensible Markup Language).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npm</w:t>
      </w:r>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 xml:space="preserve">Flask est un micro-framework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r w:rsidRPr="00325C81">
        <w:rPr>
          <w:rFonts w:asciiTheme="majorBidi" w:hAnsiTheme="majorBidi"/>
          <w:color w:val="000000" w:themeColor="text1"/>
          <w:sz w:val="24"/>
          <w:szCs w:val="24"/>
        </w:rPr>
        <w:t>Structured Query Language</w:t>
      </w:r>
      <w:bookmarkEnd w:id="4"/>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7"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Un API (Application Programming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r w:rsidRPr="00A82D77">
        <w:rPr>
          <w:rFonts w:asciiTheme="majorBidi" w:hAnsiTheme="majorBidi"/>
          <w:color w:val="000000" w:themeColor="text1"/>
          <w:sz w:val="24"/>
          <w:szCs w:val="24"/>
        </w:rPr>
        <w:t>Nmap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Nmap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19"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0"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655B" w14:textId="77777777" w:rsidR="003D6AC0" w:rsidRDefault="003D6AC0" w:rsidP="00EE3458">
      <w:pPr>
        <w:spacing w:after="0" w:line="240" w:lineRule="auto"/>
      </w:pPr>
      <w:r>
        <w:separator/>
      </w:r>
    </w:p>
  </w:endnote>
  <w:endnote w:type="continuationSeparator" w:id="0">
    <w:p w14:paraId="5C905570" w14:textId="77777777" w:rsidR="003D6AC0" w:rsidRDefault="003D6AC0"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A033" w14:textId="77777777" w:rsidR="003D6AC0" w:rsidRDefault="003D6AC0" w:rsidP="00EE3458">
      <w:pPr>
        <w:spacing w:after="0" w:line="240" w:lineRule="auto"/>
      </w:pPr>
      <w:r>
        <w:separator/>
      </w:r>
    </w:p>
  </w:footnote>
  <w:footnote w:type="continuationSeparator" w:id="0">
    <w:p w14:paraId="2F3C89D4" w14:textId="77777777" w:rsidR="003D6AC0" w:rsidRDefault="003D6AC0"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2"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6"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7"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14"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16"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num w:numId="1" w16cid:durableId="1489711091">
    <w:abstractNumId w:val="7"/>
  </w:num>
  <w:num w:numId="2" w16cid:durableId="657155941">
    <w:abstractNumId w:val="9"/>
  </w:num>
  <w:num w:numId="3" w16cid:durableId="322241421">
    <w:abstractNumId w:val="14"/>
  </w:num>
  <w:num w:numId="4" w16cid:durableId="1101871990">
    <w:abstractNumId w:val="12"/>
  </w:num>
  <w:num w:numId="5" w16cid:durableId="2137404384">
    <w:abstractNumId w:val="13"/>
  </w:num>
  <w:num w:numId="6" w16cid:durableId="274405403">
    <w:abstractNumId w:val="1"/>
  </w:num>
  <w:num w:numId="7" w16cid:durableId="323629323">
    <w:abstractNumId w:val="4"/>
  </w:num>
  <w:num w:numId="8" w16cid:durableId="1643146561">
    <w:abstractNumId w:val="3"/>
  </w:num>
  <w:num w:numId="9" w16cid:durableId="1444231083">
    <w:abstractNumId w:val="0"/>
  </w:num>
  <w:num w:numId="10" w16cid:durableId="236326899">
    <w:abstractNumId w:val="2"/>
  </w:num>
  <w:num w:numId="11" w16cid:durableId="902182568">
    <w:abstractNumId w:val="16"/>
  </w:num>
  <w:num w:numId="12" w16cid:durableId="1612591055">
    <w:abstractNumId w:val="15"/>
  </w:num>
  <w:num w:numId="13" w16cid:durableId="1879387653">
    <w:abstractNumId w:val="5"/>
  </w:num>
  <w:num w:numId="14" w16cid:durableId="1592622516">
    <w:abstractNumId w:val="8"/>
  </w:num>
  <w:num w:numId="15" w16cid:durableId="1864325019">
    <w:abstractNumId w:val="6"/>
  </w:num>
  <w:num w:numId="16" w16cid:durableId="761800057">
    <w:abstractNumId w:val="11"/>
  </w:num>
  <w:num w:numId="17" w16cid:durableId="187284273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727E5"/>
    <w:rsid w:val="00073853"/>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7F47"/>
    <w:rsid w:val="00151B11"/>
    <w:rsid w:val="00155126"/>
    <w:rsid w:val="001603F7"/>
    <w:rsid w:val="00166A55"/>
    <w:rsid w:val="001A2A8A"/>
    <w:rsid w:val="001A321A"/>
    <w:rsid w:val="001F3577"/>
    <w:rsid w:val="001F553A"/>
    <w:rsid w:val="00215A1B"/>
    <w:rsid w:val="002172A2"/>
    <w:rsid w:val="002218C7"/>
    <w:rsid w:val="00225D28"/>
    <w:rsid w:val="002444EF"/>
    <w:rsid w:val="002A2AEA"/>
    <w:rsid w:val="002A62A6"/>
    <w:rsid w:val="002B58C7"/>
    <w:rsid w:val="002C5BB5"/>
    <w:rsid w:val="002E032D"/>
    <w:rsid w:val="00300CD4"/>
    <w:rsid w:val="00301E9B"/>
    <w:rsid w:val="003207B9"/>
    <w:rsid w:val="00322BAC"/>
    <w:rsid w:val="00325C81"/>
    <w:rsid w:val="003357A1"/>
    <w:rsid w:val="00351DCA"/>
    <w:rsid w:val="003536BB"/>
    <w:rsid w:val="003640C8"/>
    <w:rsid w:val="00367B28"/>
    <w:rsid w:val="003852C5"/>
    <w:rsid w:val="003966DD"/>
    <w:rsid w:val="003A4673"/>
    <w:rsid w:val="003B6F8D"/>
    <w:rsid w:val="003D6AC0"/>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B1853"/>
    <w:rsid w:val="006B363D"/>
    <w:rsid w:val="006B639E"/>
    <w:rsid w:val="006B735D"/>
    <w:rsid w:val="006C1633"/>
    <w:rsid w:val="006D077E"/>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753E0"/>
    <w:rsid w:val="0088509E"/>
    <w:rsid w:val="00895BD9"/>
    <w:rsid w:val="00896D8A"/>
    <w:rsid w:val="008B62D2"/>
    <w:rsid w:val="008B6AA0"/>
    <w:rsid w:val="008D5891"/>
    <w:rsid w:val="008D6193"/>
    <w:rsid w:val="008E46DD"/>
    <w:rsid w:val="008F408F"/>
    <w:rsid w:val="008F4410"/>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64C92"/>
    <w:rsid w:val="00A80C88"/>
    <w:rsid w:val="00A818EA"/>
    <w:rsid w:val="00A82D77"/>
    <w:rsid w:val="00A8409D"/>
    <w:rsid w:val="00A84C05"/>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653C1"/>
    <w:rsid w:val="00B66B9B"/>
    <w:rsid w:val="00B80718"/>
    <w:rsid w:val="00B80C26"/>
    <w:rsid w:val="00B812B9"/>
    <w:rsid w:val="00B867E9"/>
    <w:rsid w:val="00B92630"/>
    <w:rsid w:val="00BB04D3"/>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400E1"/>
    <w:rsid w:val="00D45668"/>
    <w:rsid w:val="00D47686"/>
    <w:rsid w:val="00D52907"/>
    <w:rsid w:val="00D53EB3"/>
    <w:rsid w:val="00D56453"/>
    <w:rsid w:val="00D60DF3"/>
    <w:rsid w:val="00D66D59"/>
    <w:rsid w:val="00D91EE3"/>
    <w:rsid w:val="00D93A46"/>
    <w:rsid w:val="00DA32A6"/>
    <w:rsid w:val="00DB35B3"/>
    <w:rsid w:val="00DB41B1"/>
    <w:rsid w:val="00DB4474"/>
    <w:rsid w:val="00DC2FED"/>
    <w:rsid w:val="00DC7CD6"/>
    <w:rsid w:val="00DC7E3D"/>
    <w:rsid w:val="00DD41AA"/>
    <w:rsid w:val="00DD4D92"/>
    <w:rsid w:val="00DD4EF1"/>
    <w:rsid w:val="00DE6D11"/>
    <w:rsid w:val="00DE6E42"/>
    <w:rsid w:val="00DE7A49"/>
    <w:rsid w:val="00DF08DA"/>
    <w:rsid w:val="00DF12B5"/>
    <w:rsid w:val="00E052BF"/>
    <w:rsid w:val="00E64C34"/>
    <w:rsid w:val="00E84428"/>
    <w:rsid w:val="00EA281D"/>
    <w:rsid w:val="00EA690B"/>
    <w:rsid w:val="00EC56ED"/>
    <w:rsid w:val="00EC758A"/>
    <w:rsid w:val="00EE3458"/>
    <w:rsid w:val="00EE4395"/>
    <w:rsid w:val="00EF393D"/>
    <w:rsid w:val="00F04069"/>
    <w:rsid w:val="00F26523"/>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89"/>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isa.gov/forms/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sdefinitions.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25</Pages>
  <Words>4524</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199</cp:revision>
  <cp:lastPrinted>2023-05-31T16:27:00Z</cp:lastPrinted>
  <dcterms:created xsi:type="dcterms:W3CDTF">2023-04-11T11:05:00Z</dcterms:created>
  <dcterms:modified xsi:type="dcterms:W3CDTF">2023-06-06T14:39:00Z</dcterms:modified>
</cp:coreProperties>
</file>