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work consists in training a sound classification model to detect the state of a fan in an industrial environment. The dataset used can be found through this link (https://zenodo.org/record/3384388#.YTi1Tk4YBPZ) . it is arranged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spacing w:line="360" w:lineRule="auto"/>
        <w:ind w:left="363" w:firstLine="0"/>
        <w:jc w:val="center"/>
        <w:rPr/>
      </w:pPr>
      <w:r w:rsidDel="00000000" w:rsidR="00000000" w:rsidRPr="00000000">
        <w:rPr>
          <w:rFonts w:ascii="Garamond" w:cs="Garamond" w:eastAsia="Garamond" w:hAnsi="Garamond"/>
          <w:sz w:val="24"/>
          <w:szCs w:val="24"/>
        </w:rPr>
        <w:drawing>
          <wp:inline distB="0" distT="0" distL="0" distR="0">
            <wp:extent cx="1739737" cy="1380192"/>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9737" cy="13801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layout was then modified as follows:</w:t>
      </w:r>
    </w:p>
    <w:p w:rsidR="00000000" w:rsidDel="00000000" w:rsidP="00000000" w:rsidRDefault="00000000" w:rsidRPr="00000000" w14:paraId="00000006">
      <w:pPr>
        <w:keepNext w:val="1"/>
        <w:spacing w:line="360" w:lineRule="auto"/>
        <w:ind w:left="363" w:firstLine="0"/>
        <w:jc w:val="center"/>
        <w:rPr/>
      </w:pPr>
      <w:r w:rsidDel="00000000" w:rsidR="00000000" w:rsidRPr="00000000">
        <w:rPr>
          <w:rFonts w:ascii="Garamond" w:cs="Garamond" w:eastAsia="Garamond" w:hAnsi="Garamond"/>
          <w:sz w:val="24"/>
          <w:szCs w:val="24"/>
        </w:rPr>
        <w:drawing>
          <wp:inline distB="0" distT="0" distL="0" distR="0">
            <wp:extent cx="1731425" cy="132320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1425" cy="13232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model behaves like an image classifier: the input nodes are fed by a matrix named Log-Mel spectrogram. In short, the log-mel spectrogram is like a set of FFTs put end to end while applying a scale modification to get closer to the behavior of the human ear.</w:t>
      </w:r>
    </w:p>
    <w:p w:rsidR="00000000" w:rsidDel="00000000" w:rsidP="00000000" w:rsidRDefault="00000000" w:rsidRPr="00000000" w14:paraId="00000008">
      <w:pPr>
        <w:keepNext w:val="1"/>
        <w:spacing w:line="360" w:lineRule="auto"/>
        <w:ind w:left="363" w:firstLine="0"/>
        <w:jc w:val="center"/>
        <w:rPr/>
      </w:pPr>
      <w:r w:rsidDel="00000000" w:rsidR="00000000" w:rsidRPr="00000000">
        <w:rPr>
          <w:rFonts w:ascii="Garamond" w:cs="Garamond" w:eastAsia="Garamond" w:hAnsi="Garamond"/>
          <w:sz w:val="24"/>
          <w:szCs w:val="24"/>
        </w:rPr>
        <w:drawing>
          <wp:inline distB="0" distT="0" distL="0" distR="0">
            <wp:extent cx="2530313" cy="292636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30313" cy="292636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parameters of the spectrogram and the structure of the model have been adapted to the limitation imposed by the microcontroller (especially the size of the RAM limited to 96 KB).</w:t>
      </w:r>
    </w:p>
    <w:p w:rsidR="00000000" w:rsidDel="00000000" w:rsidP="00000000" w:rsidRDefault="00000000" w:rsidRPr="00000000" w14:paraId="0000000B">
      <w:pPr>
        <w:rPr/>
      </w:pPr>
      <w:r w:rsidDel="00000000" w:rsidR="00000000" w:rsidRPr="00000000">
        <w:rPr>
          <w:rtl w:val="0"/>
        </w:rPr>
        <w:t xml:space="preserve">The preprocessing consists in preparing a csv file containing the metadata. Moreover, it is a question of normalizing all the files present (same duration, same sampling frequency as well as a mono format) so that the spectrograms obtained are of the same dimension (in our case 30*32) as shown in the following figure: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spacing w:line="360" w:lineRule="auto"/>
        <w:ind w:left="363" w:firstLine="0"/>
        <w:jc w:val="center"/>
        <w:rPr/>
      </w:pPr>
      <w:r w:rsidDel="00000000" w:rsidR="00000000" w:rsidRPr="00000000">
        <w:rPr>
          <w:rFonts w:ascii="Garamond" w:cs="Garamond" w:eastAsia="Garamond" w:hAnsi="Garamond"/>
          <w:sz w:val="24"/>
          <w:szCs w:val="24"/>
        </w:rPr>
        <w:drawing>
          <wp:inline distB="0" distT="0" distL="0" distR="0">
            <wp:extent cx="2225513" cy="1665297"/>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25513" cy="16652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the model was trained, it was exported in ".pth" file. As this file is not directly compatible with the current version of the STM32 Cube AI suite, I had to convert it to a more generic format ONNX (Open Neural Network Exchange).</w:t>
      </w:r>
    </w:p>
    <w:p w:rsidR="00000000" w:rsidDel="00000000" w:rsidP="00000000" w:rsidRDefault="00000000" w:rsidRPr="00000000" w14:paraId="00000010">
      <w:pPr>
        <w:rPr/>
      </w:pPr>
      <w:r w:rsidDel="00000000" w:rsidR="00000000" w:rsidRPr="00000000">
        <w:rPr>
          <w:rtl w:val="0"/>
        </w:rPr>
        <w:t xml:space="preserve">The program implemented on microcontroller follows the following flowchart: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1288582" cy="51006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88582" cy="51006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