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color w:val="595959"/>
          <w:sz w:val="20"/>
          <w:szCs w:val="20"/>
        </w:rPr>
        <w:t xml:space="preserve">Serious game « Cellule GEPP » – Ville de Mont-Rivière</w:t>
      </w:r>
    </w:p>
    <w:p>
      <w:pPr>
        <w:spacing w:after="40"/>
        <w:jc w:val="center"/>
      </w:pPr>
      <w:r>
        <w:rPr>
          <w:b/>
          <w:bCs/>
          <w:color w:val="1F4E79"/>
          <w:sz w:val="32"/>
          <w:szCs w:val="32"/>
        </w:rPr>
        <w:t xml:space="preserve">Diagnostic emplois–compétences de la ville de Mont-Rivière</w:t>
      </w:r>
    </w:p>
    <w:p>
      <w:pPr>
        <w:pBdr>
          <w:bottom w:val="single" w:color="1F4E79" w:sz="8" w:space="6"/>
        </w:pBdr>
        <w:spacing w:after="200"/>
        <w:jc w:val="center"/>
      </w:pPr>
      <w:r>
        <w:rPr>
          <w:color w:val="595959"/>
          <w:sz w:val="20"/>
          <w:szCs w:val="20"/>
        </w:rPr>
        <w:t xml:space="preserve">Livrable séance 3 – Master AES – Cellule GEPP</w:t>
      </w:r>
    </w:p>
    <w:p>
      <w:pPr>
        <w:spacing w:after="100" w:line="264"/>
        <w:jc w:val="both"/>
      </w:pPr>
      <w:r>
        <w:rPr>
          <w:b/>
          <w:bCs/>
        </w:rPr>
        <w:t xml:space="preserve">Objet.</w:t>
      </w:r>
      <w:r>
        <w:t xml:space="preserve"> Ce diagnostic analyse la situation actuelle des emplois et des compétences des 950 agents de la ville afin d’identifier ses forces, ses faiblesses et les risques principaux à horizon 3–5 ans. Il s’appuie sur les données RH synthétiques du dossier (effectifs, âges, turnover, mobilité, formation), sur les conclusions de l’audit interne et sur la cartographie des métiers et le référentiel de compétences réalisés en séance 2. Les chiffres signalés « ≈ » sont des estimations calculées par la cellule à partir de ces données.</w:t>
      </w:r>
    </w:p>
    <w:p>
      <w:pPr>
        <w:pStyle w:val="Heading1"/>
        <w:spacing w:after="120" w:before="240"/>
      </w:pPr>
      <w:r>
        <w:t xml:space="preserve">1. Analyse globale des effectifs</w:t>
      </w:r>
    </w:p>
    <w:p>
      <w:pPr>
        <w:pStyle w:val="Heading2"/>
        <w:spacing w:after="80" w:before="160"/>
      </w:pPr>
      <w:r>
        <w:t xml:space="preserve">1.1 Répartition par direction et par âge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300"/>
        <w:gridCol w:w="1100"/>
        <w:gridCol w:w="1500"/>
        <w:gridCol w:w="2500"/>
      </w:tblGrid>
      <w:tr>
        <w:trPr>
          <w:tblHeader/>
        </w:trPr>
        <w:tc>
          <w:tcPr>
            <w:tcW w:type="dxa" w:w="3238"/>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Direction</w:t>
            </w:r>
          </w:p>
        </w:tc>
        <w:tc>
          <w:tcPr>
            <w:tcW w:type="dxa" w:w="13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Effectifs</w:t>
            </w:r>
          </w:p>
        </w:tc>
        <w:tc>
          <w:tcPr>
            <w:tcW w:type="dxa" w:w="11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Part</w:t>
            </w:r>
          </w:p>
        </w:tc>
        <w:tc>
          <w:tcPr>
            <w:tcW w:type="dxa" w:w="1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Âge moyen</w:t>
            </w:r>
          </w:p>
        </w:tc>
        <w:tc>
          <w:tcPr>
            <w:tcW w:type="dxa" w:w="25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Écart / moyenne ville</w:t>
            </w:r>
          </w:p>
        </w:tc>
      </w:tr>
      <w:tr>
        <w:tc>
          <w:tcPr>
            <w:tcW w:type="dxa" w:w="3238"/>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DST – Services techniques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380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40 %</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51 ans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+3,7 ans</w:t>
            </w:r>
          </w:p>
        </w:tc>
      </w:tr>
      <w:tr>
        <w:tc>
          <w:tcPr>
            <w:tcW w:type="dxa" w:w="3238"/>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DECS – Éducation, culture, sport</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320</w:t>
            </w:r>
          </w:p>
        </w:tc>
        <w:tc>
          <w:tcPr>
            <w:tcW w:type="dxa" w:w="11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34 %</w:t>
            </w:r>
          </w:p>
        </w:tc>
        <w:tc>
          <w:tcPr>
            <w:tcW w:type="dxa" w:w="1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43 ans</w:t>
            </w:r>
          </w:p>
        </w:tc>
        <w:tc>
          <w:tcPr>
            <w:tcW w:type="dxa" w:w="2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–4,3 ans</w:t>
            </w:r>
          </w:p>
        </w:tc>
      </w:tr>
      <w:tr>
        <w:tc>
          <w:tcPr>
            <w:tcW w:type="dxa" w:w="3238"/>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DR – Ressources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250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26 %</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47 ans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–0,3 an</w:t>
            </w:r>
          </w:p>
        </w:tc>
      </w:tr>
      <w:tr>
        <w:tc>
          <w:tcPr>
            <w:tcW w:type="dxa" w:w="3238"/>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Total ville</w:t>
            </w:r>
          </w:p>
        </w:tc>
        <w:tc>
          <w:tcPr>
            <w:tcW w:type="dxa" w:w="1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950</w:t>
            </w:r>
          </w:p>
        </w:tc>
        <w:tc>
          <w:tcPr>
            <w:tcW w:type="dxa" w:w="11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100 %</w:t>
            </w:r>
          </w:p>
        </w:tc>
        <w:tc>
          <w:tcPr>
            <w:tcW w:type="dxa" w:w="1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 47,3 ans</w:t>
            </w:r>
          </w:p>
        </w:tc>
        <w:tc>
          <w:tcPr>
            <w:tcW w:type="dxa" w:w="25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w:t>
            </w:r>
          </w:p>
        </w:tc>
      </w:tr>
    </w:tbl>
    <w:p>
      <w:pPr>
        <w:spacing w:after="40" w:before="8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86000"/>
                    </a:xfrm>
                    <a:prstGeom prst="rect">
                      <a:avLst/>
                    </a:prstGeom>
                  </pic:spPr>
                </pic:pic>
              </a:graphicData>
            </a:graphic>
          </wp:inline>
        </w:drawing>
      </w:r>
    </w:p>
    <w:p>
      <w:pPr>
        <w:spacing w:after="140"/>
        <w:jc w:val="center"/>
      </w:pPr>
      <w:r>
        <w:rPr>
          <w:i/>
          <w:iCs/>
          <w:color w:val="595959"/>
          <w:sz w:val="18"/>
          <w:szCs w:val="18"/>
        </w:rPr>
        <w:t xml:space="preserve">Graphique 1 – Effectifs et âge moyen par direction (âge moyen ville pondéré par les effectifs)</w:t>
      </w:r>
    </w:p>
    <w:p>
      <w:pPr>
        <w:spacing w:after="100" w:line="264"/>
        <w:jc w:val="both"/>
      </w:pPr>
      <w:r>
        <w:t xml:space="preserve">La DST est à la fois </w:t>
      </w:r>
      <w:r>
        <w:rPr>
          <w:b/>
          <w:bCs/>
        </w:rPr>
        <w:t xml:space="preserve">la plus grande direction (40 % des agents) et la plus âgée (51 ans)</w:t>
      </w:r>
      <w:r>
        <w:t xml:space="preserve">. L’âge moyen de la ville (≈ 47,3 ans) se situe au-dessus de la moyenne généralement observée dans la fonction publique territoriale (autour de 45 ans). Les trois directions présentent pourtant des profils très différents, ce qui appelle des réponses différenciées :</w:t>
      </w:r>
    </w:p>
    <w:p>
      <w:pPr>
        <w:pStyle w:val="ListParagraph"/>
        <w:numPr>
          <w:ilvl w:val="0"/>
          <w:numId w:val="2"/>
        </w:numPr>
        <w:spacing w:after="40" w:line="252"/>
        <w:jc w:val="both"/>
      </w:pPr>
      <w:r>
        <w:rPr>
          <w:b/>
          <w:bCs/>
        </w:rPr>
        <w:t xml:space="preserve">DST – un vieillissement marqué et immédiat.</w:t>
      </w:r>
      <w:r>
        <w:t xml:space="preserve"> 45 % des agents ont plus de 50 ans (≈ 171 agents) et 25 % plus de 57 ans (≈ 95 agents). Ces 95 agents sont susceptibles de partir à la retraite dans les 5 à 7 ans : </w:t>
      </w:r>
      <w:r>
        <w:rPr>
          <w:b/>
          <w:bCs/>
        </w:rPr>
        <w:t xml:space="preserve">un agent technique sur quatre</w:t>
      </w:r>
      <w:r>
        <w:t xml:space="preserve"> est concerné, principalement dans les métiers ouvriers.</w:t>
      </w:r>
    </w:p>
    <w:p>
      <w:pPr>
        <w:pStyle w:val="ListParagraph"/>
        <w:numPr>
          <w:ilvl w:val="0"/>
          <w:numId w:val="2"/>
        </w:numPr>
        <w:spacing w:after="40" w:line="252"/>
        <w:jc w:val="both"/>
      </w:pPr>
      <w:r>
        <w:rPr>
          <w:b/>
          <w:bCs/>
        </w:rPr>
        <w:t xml:space="preserve">DECS – une direction jeune mais instable.</w:t>
      </w:r>
      <w:r>
        <w:t xml:space="preserve"> Forte proportion d’agents de 30 à 45 ans, mais renouvellement fréquent des contrats dans l’animation. Le risque n’est pas démographique : il porte sur la fidélisation et la professionnalisation.</w:t>
      </w:r>
    </w:p>
    <w:p>
      <w:pPr>
        <w:pStyle w:val="ListParagraph"/>
        <w:numPr>
          <w:ilvl w:val="0"/>
          <w:numId w:val="2"/>
        </w:numPr>
        <w:spacing w:after="40" w:line="252"/>
        <w:jc w:val="both"/>
      </w:pPr>
      <w:r>
        <w:rPr>
          <w:b/>
          <w:bCs/>
        </w:rPr>
        <w:t xml:space="preserve">DR – un « effet falaise » différé.</w:t>
      </w:r>
      <w:r>
        <w:t xml:space="preserve"> Une part importante d’agents entre 45 et 55 ans et peu de jeunes cadres : les départs seront groupés dans 10 à 15 ans, et le vivier d’encadrement de relève est aujourd’hui faible.</w:t>
      </w:r>
    </w:p>
    <w:p>
      <w:pPr>
        <w:spacing w:after="40" w:before="80"/>
        <w:jc w:val="center"/>
      </w:pPr>
      <w:r>
        <w:drawing>
          <wp:inline distT="0" distB="0" distL="0" distR="0">
            <wp:extent cx="57150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285875"/>
                    </a:xfrm>
                    <a:prstGeom prst="rect">
                      <a:avLst/>
                    </a:prstGeom>
                  </pic:spPr>
                </pic:pic>
              </a:graphicData>
            </a:graphic>
          </wp:inline>
        </w:drawing>
      </w:r>
    </w:p>
    <w:p>
      <w:pPr>
        <w:spacing w:after="140"/>
        <w:jc w:val="center"/>
      </w:pPr>
      <w:r>
        <w:rPr>
          <w:i/>
          <w:iCs/>
          <w:color w:val="595959"/>
          <w:sz w:val="18"/>
          <w:szCs w:val="18"/>
        </w:rPr>
        <w:t xml:space="preserve">Graphique 2 – Structure par âge de la DST (effectifs estimés à partir des pourcentages fournis)</w:t>
      </w:r>
    </w:p>
    <w:p>
      <w:pPr>
        <w:pStyle w:val="Heading2"/>
        <w:spacing w:after="80" w:before="160"/>
      </w:pPr>
      <w:r>
        <w:t xml:space="preserve">1.2 Statut et précarité</w:t>
      </w:r>
    </w:p>
    <w:p>
      <w:pPr>
        <w:spacing w:after="100" w:line="264"/>
        <w:jc w:val="both"/>
      </w:pPr>
      <w:r>
        <w:t xml:space="preserve">Le dossier ne chiffre pas la part de contractuels, mais tous les constats convergent : </w:t>
      </w:r>
      <w:r>
        <w:rPr>
          <w:b/>
          <w:bCs/>
        </w:rPr>
        <w:t xml:space="preserve">le recours aux contrats précaires est important à la DECS</w:t>
      </w:r>
      <w:r>
        <w:t xml:space="preserve"> (animation, temps partiels, saisonniers) et, selon l’audit, dans « certains services ». Cette précarité alimente le turnover et freine la professionnalisation (certifications, titularisation). </w:t>
      </w:r>
      <w:r>
        <w:rPr>
          <w:b/>
          <w:bCs/>
        </w:rPr>
        <w:t xml:space="preserve">La production d’un indicateur « part de contractuels par direction et par métier » est un préalable</w:t>
      </w:r>
      <w:r>
        <w:t xml:space="preserve"> pour affiner le diagnostic.</w:t>
      </w:r>
    </w:p>
    <w:p>
      <w:pPr>
        <w:pStyle w:val="Heading2"/>
        <w:spacing w:after="80" w:before="160"/>
      </w:pPr>
      <w:r>
        <w:t xml:space="preserve">1.3 Flux : turnover, mobilité et formation</w:t>
      </w:r>
    </w:p>
    <w:p>
      <w:pPr>
        <w:spacing w:after="40" w:before="80"/>
        <w:jc w:val="center"/>
      </w:pPr>
      <w:r>
        <w:drawing>
          <wp:inline distT="0" distB="0" distL="0" distR="0">
            <wp:extent cx="53340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333500"/>
                    </a:xfrm>
                    <a:prstGeom prst="rect">
                      <a:avLst/>
                    </a:prstGeom>
                  </pic:spPr>
                </pic:pic>
              </a:graphicData>
            </a:graphic>
          </wp:inline>
        </w:drawing>
      </w:r>
    </w:p>
    <w:p>
      <w:pPr>
        <w:spacing w:after="140"/>
        <w:jc w:val="center"/>
      </w:pPr>
      <w:r>
        <w:rPr>
          <w:i/>
          <w:iCs/>
          <w:color w:val="595959"/>
          <w:sz w:val="18"/>
          <w:szCs w:val="18"/>
        </w:rPr>
        <w:t xml:space="preserve">Graphique 3 – Départs et mobilités internes annuels estimés</w:t>
      </w:r>
    </w:p>
    <w:p>
      <w:pPr>
        <w:pStyle w:val="ListParagraph"/>
        <w:numPr>
          <w:ilvl w:val="0"/>
          <w:numId w:val="2"/>
        </w:numPr>
        <w:spacing w:after="40" w:line="252"/>
        <w:jc w:val="both"/>
      </w:pPr>
      <w:r>
        <w:rPr>
          <w:b/>
          <w:bCs/>
        </w:rPr>
        <w:t xml:space="preserve">Turnover de 6 % par an</w:t>
      </w:r>
      <w:r>
        <w:t xml:space="preserve">, soit ≈ 57 départs par an (≈ 170 sur 3 ans), avec des pics dans l’animation et l’informatique.</w:t>
      </w:r>
    </w:p>
    <w:p>
      <w:pPr>
        <w:pStyle w:val="ListParagraph"/>
        <w:numPr>
          <w:ilvl w:val="0"/>
          <w:numId w:val="2"/>
        </w:numPr>
        <w:spacing w:after="40" w:line="252"/>
        <w:jc w:val="both"/>
      </w:pPr>
      <w:r>
        <w:rPr>
          <w:b/>
          <w:bCs/>
        </w:rPr>
        <w:t xml:space="preserve">Mobilité interne faible</w:t>
      </w:r>
      <w:r>
        <w:t xml:space="preserve"> : 5 % des agents sur 3 ans, soit ≈ 48 agents (≈ 16 par an). La ville enregistre donc </w:t>
      </w:r>
      <w:r>
        <w:rPr>
          <w:b/>
          <w:bCs/>
        </w:rPr>
        <w:t xml:space="preserve">environ 3,5 départs pour une mobilité interne</w:t>
      </w:r>
      <w:r>
        <w:t xml:space="preserve"> : elle renouvelle ses compétences par l’extérieur plutôt qu’en faisant évoluer ses agents, ce qui explique le sentiment d’être « bloqué » dans son poste relevé par l’audit.</w:t>
      </w:r>
    </w:p>
    <w:p>
      <w:pPr>
        <w:pStyle w:val="ListParagraph"/>
        <w:numPr>
          <w:ilvl w:val="0"/>
          <w:numId w:val="2"/>
        </w:numPr>
        <w:spacing w:after="40" w:line="252"/>
        <w:jc w:val="both"/>
      </w:pPr>
      <w:r>
        <w:rPr>
          <w:b/>
          <w:bCs/>
        </w:rPr>
        <w:t xml:space="preserve">Formation</w:t>
      </w:r>
      <w:r>
        <w:t xml:space="preserve"> : budget en légère hausse, mais concentré sur les formations obligatoires (sécurité, réglementation). Les compétences d’avenir – numérique, transition énergétique, management – sont peu couvertes alors qu’elles sont au cœur du projet de mandat.</w:t>
      </w:r>
    </w:p>
    <w:p>
      <w:pPr>
        <w:pStyle w:val="Heading1"/>
        <w:spacing w:after="120" w:before="240"/>
      </w:pPr>
      <w:r>
        <w:t xml:space="preserve">2. Zoom sur les familles de métiers</w:t>
      </w:r>
    </w:p>
    <w:p>
      <w:pPr>
        <w:spacing w:after="100" w:line="264"/>
        <w:jc w:val="both"/>
      </w:pPr>
      <w:r>
        <w:t xml:space="preserve">À partir de la cartographie de la séance 2, chaque famille est positionnée selon son statut (cœur, critique, émergent) et son niveau de tension, apprécié sur quatre critères : vieillissement, postes vacants, difficultés de recrutement et turnover.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1050"/>
        <w:gridCol w:w="3888"/>
        <w:gridCol w:w="1100"/>
      </w:tblGrid>
      <w:tr>
        <w:trPr>
          <w:tblHeader/>
        </w:trPr>
        <w:tc>
          <w:tcPr>
            <w:tcW w:type="dxa" w:w="9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Direction</w:t>
            </w:r>
          </w:p>
        </w:tc>
        <w:tc>
          <w:tcPr>
            <w:tcW w:type="dxa" w:w="27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Famille / métier</w:t>
            </w:r>
          </w:p>
        </w:tc>
        <w:tc>
          <w:tcPr>
            <w:tcW w:type="dxa" w:w="105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Statut</w:t>
            </w:r>
          </w:p>
        </w:tc>
        <w:tc>
          <w:tcPr>
            <w:tcW w:type="dxa" w:w="3888"/>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Constat principal</w:t>
            </w:r>
          </w:p>
        </w:tc>
        <w:tc>
          <w:tcPr>
            <w:tcW w:type="dxa" w:w="11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Tension</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DST</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Ouvriers VRD, agents espaces verts</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Cœur</w:t>
            </w:r>
          </w:p>
        </w:tc>
        <w:tc>
          <w:tcPr>
            <w:tcW w:type="dxa" w:w="38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Vieillissement fort, pénibilité physique</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Moyenne</w:t>
            </w:r>
          </w:p>
        </w:tc>
      </w:tr>
      <w:tr>
        <w:tc>
          <w:tcPr>
            <w:tcW w:type="dxa" w:w="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DST</w:t>
            </w:r>
          </w:p>
        </w:tc>
        <w:tc>
          <w:tcPr>
            <w:tcW w:type="dxa" w:w="2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Techniciens de maintenance des bâtiments</w:t>
            </w:r>
          </w:p>
        </w:tc>
        <w:tc>
          <w:tcPr>
            <w:tcW w:type="dxa" w:w="10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Critique</w:t>
            </w:r>
          </w:p>
        </w:tc>
        <w:tc>
          <w:tcPr>
            <w:tcW w:type="dxa" w:w="388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Départs massifs, compétences CVC et rénovation énergétique rares</w:t>
            </w:r>
          </w:p>
        </w:tc>
        <w:tc>
          <w:tcPr>
            <w:tcW w:type="dxa" w:w="11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Forte</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DST</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Conducteurs d’engins / chauffeurs PL</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Critique</w:t>
            </w:r>
          </w:p>
        </w:tc>
        <w:tc>
          <w:tcPr>
            <w:tcW w:type="dxa" w:w="38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Nombreux départs à la retraite, peu de candidats</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Forte</w:t>
            </w:r>
          </w:p>
        </w:tc>
      </w:tr>
      <w:tr>
        <w:tc>
          <w:tcPr>
            <w:tcW w:type="dxa" w:w="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DST</w:t>
            </w:r>
          </w:p>
        </w:tc>
        <w:tc>
          <w:tcPr>
            <w:tcW w:type="dxa" w:w="2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Techniciens / ingénieurs énergie, patrimoine</w:t>
            </w:r>
          </w:p>
        </w:tc>
        <w:tc>
          <w:tcPr>
            <w:tcW w:type="dxa" w:w="10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Émergent</w:t>
            </w:r>
          </w:p>
        </w:tc>
        <w:tc>
          <w:tcPr>
            <w:tcW w:type="dxa" w:w="388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Besoin croissant lié à la transition écologique</w:t>
            </w:r>
          </w:p>
        </w:tc>
        <w:tc>
          <w:tcPr>
            <w:tcW w:type="dxa" w:w="11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Moyenne</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DST</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Encadrants de proximité</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Cœur</w:t>
            </w:r>
          </w:p>
        </w:tc>
        <w:tc>
          <w:tcPr>
            <w:tcW w:type="dxa" w:w="38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Évolution des outils (GMAO, capteurs, télégestion)</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Moyenne</w:t>
            </w:r>
          </w:p>
        </w:tc>
      </w:tr>
      <w:tr>
        <w:tc>
          <w:tcPr>
            <w:tcW w:type="dxa" w:w="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DECS</w:t>
            </w:r>
          </w:p>
        </w:tc>
        <w:tc>
          <w:tcPr>
            <w:tcW w:type="dxa" w:w="2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Animateurs péri / extrascolaires</w:t>
            </w:r>
          </w:p>
        </w:tc>
        <w:tc>
          <w:tcPr>
            <w:tcW w:type="dxa" w:w="10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Critique</w:t>
            </w:r>
          </w:p>
        </w:tc>
        <w:tc>
          <w:tcPr>
            <w:tcW w:type="dxa" w:w="388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Précarité, temps partiels, turnover élevé</w:t>
            </w:r>
          </w:p>
        </w:tc>
        <w:tc>
          <w:tcPr>
            <w:tcW w:type="dxa" w:w="11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Forte</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DECS</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Bibliothécaires, médiateurs culturels</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Critique</w:t>
            </w:r>
          </w:p>
        </w:tc>
        <w:tc>
          <w:tcPr>
            <w:tcW w:type="dxa" w:w="38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Transformation vers la médiation et le numérique</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Moyenne</w:t>
            </w:r>
          </w:p>
        </w:tc>
      </w:tr>
      <w:tr>
        <w:tc>
          <w:tcPr>
            <w:tcW w:type="dxa" w:w="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DECS</w:t>
            </w:r>
          </w:p>
        </w:tc>
        <w:tc>
          <w:tcPr>
            <w:tcW w:type="dxa" w:w="2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ATSEM, éducateurs sportifs, maîtres-nageurs</w:t>
            </w:r>
          </w:p>
        </w:tc>
        <w:tc>
          <w:tcPr>
            <w:tcW w:type="dxa" w:w="10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Cœur</w:t>
            </w:r>
          </w:p>
        </w:tc>
        <w:tc>
          <w:tcPr>
            <w:tcW w:type="dxa" w:w="388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Pénibilité, horaires fractionnés</w:t>
            </w:r>
          </w:p>
        </w:tc>
        <w:tc>
          <w:tcPr>
            <w:tcW w:type="dxa" w:w="11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Moyenne</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DR</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Gestionnaires et assistants RH</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Critique</w:t>
            </w:r>
          </w:p>
        </w:tc>
        <w:tc>
          <w:tcPr>
            <w:tcW w:type="dxa" w:w="38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Départ d’agents clés, charge croissante (SIRH)</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Forte</w:t>
            </w:r>
          </w:p>
        </w:tc>
      </w:tr>
      <w:tr>
        <w:tc>
          <w:tcPr>
            <w:tcW w:type="dxa" w:w="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DR</w:t>
            </w:r>
          </w:p>
        </w:tc>
        <w:tc>
          <w:tcPr>
            <w:tcW w:type="dxa" w:w="2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Informaticiens (systèmes, réseaux, support)</w:t>
            </w:r>
          </w:p>
        </w:tc>
        <w:tc>
          <w:tcPr>
            <w:tcW w:type="dxa" w:w="10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Critique</w:t>
            </w:r>
          </w:p>
        </w:tc>
        <w:tc>
          <w:tcPr>
            <w:tcW w:type="dxa" w:w="388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Concurrence du privé, turnover élevé</w:t>
            </w:r>
          </w:p>
        </w:tc>
        <w:tc>
          <w:tcPr>
            <w:tcW w:type="dxa" w:w="11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Forte</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DR</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Chefs de projet transformation / modernisation</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Émergent</w:t>
            </w:r>
          </w:p>
        </w:tc>
        <w:tc>
          <w:tcPr>
            <w:tcW w:type="dxa" w:w="38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Compétences rares en interne</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Moyenne</w:t>
            </w:r>
          </w:p>
        </w:tc>
      </w:tr>
      <w:tr>
        <w:tc>
          <w:tcPr>
            <w:tcW w:type="dxa" w:w="9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DR</w:t>
            </w:r>
          </w:p>
        </w:tc>
        <w:tc>
          <w:tcPr>
            <w:tcW w:type="dxa" w:w="27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Assistants administratifs, comptables, juristes</w:t>
            </w:r>
          </w:p>
        </w:tc>
        <w:tc>
          <w:tcPr>
            <w:tcW w:type="dxa" w:w="10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Cœur</w:t>
            </w:r>
          </w:p>
        </w:tc>
        <w:tc>
          <w:tcPr>
            <w:tcW w:type="dxa" w:w="388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Digitalisation des procédures : métiers à transformer</w:t>
            </w:r>
          </w:p>
        </w:tc>
        <w:tc>
          <w:tcPr>
            <w:tcW w:type="dxa" w:w="11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Faible</w:t>
            </w:r>
          </w:p>
        </w:tc>
      </w:tr>
    </w:tbl>
    <w:p>
      <w:pPr>
        <w:spacing w:after="100" w:line="264"/>
        <w:jc w:val="both"/>
      </w:pPr>
      <w:r>
        <w:rPr>
          <w:b/>
          <w:bCs/>
        </w:rPr>
        <w:t xml:space="preserve">Lecture :</w:t>
      </w:r>
      <w:r>
        <w:t xml:space="preserve"> les tensions ne sont pas de même nature selon les directions. À la </w:t>
      </w:r>
      <w:r>
        <w:rPr>
          <w:b/>
          <w:bCs/>
        </w:rPr>
        <w:t xml:space="preserve">DST</w:t>
      </w:r>
      <w:r>
        <w:t xml:space="preserve">, la tension est </w:t>
      </w:r>
      <w:r>
        <w:rPr>
          <w:b/>
          <w:bCs/>
        </w:rPr>
        <w:t xml:space="preserve">démographique</w:t>
      </w:r>
      <w:r>
        <w:t xml:space="preserve"> (départs non remplacés) ; à la </w:t>
      </w:r>
      <w:r>
        <w:rPr>
          <w:b/>
          <w:bCs/>
        </w:rPr>
        <w:t xml:space="preserve">DECS</w:t>
      </w:r>
      <w:r>
        <w:t xml:space="preserve">, elle est </w:t>
      </w:r>
      <w:r>
        <w:rPr>
          <w:b/>
          <w:bCs/>
        </w:rPr>
        <w:t xml:space="preserve">statutaire</w:t>
      </w:r>
      <w:r>
        <w:t xml:space="preserve"> (précarité et fidélisation) ; à la </w:t>
      </w:r>
      <w:r>
        <w:rPr>
          <w:b/>
          <w:bCs/>
        </w:rPr>
        <w:t xml:space="preserve">DR</w:t>
      </w:r>
      <w:r>
        <w:t xml:space="preserve">, elle relève de l’</w:t>
      </w:r>
      <w:r>
        <w:rPr>
          <w:b/>
          <w:bCs/>
        </w:rPr>
        <w:t xml:space="preserve">attractivité et de la transmission</w:t>
      </w:r>
      <w:r>
        <w:t xml:space="preserve"> (profils recherchés par le privé, savoirs détenus par quelques agents). Six métiers cumulent au moins deux critères de tension.</w:t>
      </w:r>
    </w:p>
    <w:p>
      <w:pPr>
        <w:pStyle w:val="Heading1"/>
        <w:spacing w:after="120" w:before="240"/>
      </w:pPr>
      <w:r>
        <w:t xml:space="preserve">3. Analyse des métiers critiques</w:t>
      </w:r>
    </w:p>
    <w:p>
      <w:pPr>
        <w:pStyle w:val="Heading2"/>
        <w:spacing w:after="80" w:before="160"/>
      </w:pPr>
      <w:r>
        <w:t xml:space="preserve">3.1 Techniciens de maintenance des bâtiments (DST)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000"/>
        <w:gridCol w:w="4738"/>
      </w:tblGrid>
      <w:tr>
        <w:trPr>
          <w:tblHeader/>
        </w:trPr>
        <w:tc>
          <w:tcPr>
            <w:tcW w:type="dxa" w:w="29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Indicateur</w:t>
            </w:r>
          </w:p>
        </w:tc>
        <w:tc>
          <w:tcPr>
            <w:tcW w:type="dxa" w:w="20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Valeur</w:t>
            </w:r>
          </w:p>
        </w:tc>
        <w:tc>
          <w:tcPr>
            <w:tcW w:type="dxa" w:w="4738"/>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Commentaire</w:t>
            </w:r>
          </w:p>
        </w:tc>
      </w:tr>
      <w:tr>
        <w:tc>
          <w:tcPr>
            <w:tcW w:type="dxa" w:w="29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Effectif</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70 agents</w:t>
            </w:r>
          </w:p>
        </w:tc>
        <w:tc>
          <w:tcPr>
            <w:tcW w:type="dxa" w:w="47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 18 % des effectifs de la DST</w:t>
            </w:r>
          </w:p>
        </w:tc>
      </w:tr>
      <w:tr>
        <w:tc>
          <w:tcPr>
            <w:tcW w:type="dxa" w:w="29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Âge moyen</w:t>
            </w:r>
          </w:p>
        </w:tc>
        <w:tc>
          <w:tcPr>
            <w:tcW w:type="dxa" w:w="2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52 ans</w:t>
            </w:r>
          </w:p>
        </w:tc>
        <w:tc>
          <w:tcPr>
            <w:tcW w:type="dxa" w:w="47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Supérieur à la moyenne DST (51 ans)</w:t>
            </w:r>
          </w:p>
        </w:tc>
      </w:tr>
      <w:tr>
        <w:tc>
          <w:tcPr>
            <w:tcW w:type="dxa" w:w="29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Départs en retraite &lt; 5 ans</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25 agents</w:t>
            </w:r>
          </w:p>
        </w:tc>
        <w:tc>
          <w:tcPr>
            <w:tcW w:type="dxa" w:w="47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36 % de l’effectif</w:t>
            </w:r>
          </w:p>
        </w:tc>
      </w:tr>
      <w:tr>
        <w:tc>
          <w:tcPr>
            <w:tcW w:type="dxa" w:w="29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Postes vacants</w:t>
            </w:r>
          </w:p>
        </w:tc>
        <w:tc>
          <w:tcPr>
            <w:tcW w:type="dxa" w:w="2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10 % (≈ 7 postes)</w:t>
            </w:r>
          </w:p>
        </w:tc>
        <w:tc>
          <w:tcPr>
            <w:tcW w:type="dxa" w:w="47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Faible attractivité des postes</w:t>
            </w:r>
          </w:p>
        </w:tc>
      </w:tr>
      <w:tr>
        <w:tc>
          <w:tcPr>
            <w:tcW w:type="dxa" w:w="29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Formations suivies en 3 ans</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15</w:t>
            </w:r>
          </w:p>
        </w:tc>
        <w:tc>
          <w:tcPr>
            <w:tcW w:type="dxa" w:w="47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 5 par an, soit à peine 1 agent sur 5 formé en 3 ans</w:t>
            </w:r>
          </w:p>
        </w:tc>
      </w:tr>
      <w:tr>
        <w:tc>
          <w:tcPr>
            <w:tcW w:type="dxa" w:w="29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Besoin total à 5 ans</w:t>
            </w:r>
          </w:p>
        </w:tc>
        <w:tc>
          <w:tcPr>
            <w:tcW w:type="dxa" w:w="20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 32 postes</w:t>
            </w:r>
          </w:p>
        </w:tc>
        <w:tc>
          <w:tcPr>
            <w:tcW w:type="dxa" w:w="47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25 départs + 7 vacances = </w:t>
            </w:r>
            <w:r>
              <w:rPr>
                <w:sz w:val="18"/>
                <w:szCs w:val="18"/>
              </w:rPr>
              <w:t xml:space="preserve">près de la moitié de l’effectif</w:t>
            </w:r>
          </w:p>
        </w:tc>
      </w:tr>
    </w:tbl>
    <w:p>
      <w:pPr>
        <w:spacing w:after="80"/>
      </w:pPr>
    </w:p>
    <w:p>
      <w:pPr>
        <w:spacing w:after="100" w:line="264"/>
        <w:jc w:val="both"/>
      </w:pPr>
      <w:r>
        <w:t xml:space="preserve">Le référentiel élaboré en séance 2 exige un niveau </w:t>
      </w:r>
      <w:r>
        <w:rPr>
          <w:b/>
          <w:bCs/>
        </w:rPr>
        <w:t xml:space="preserve">opérationnel à maîtrisé</w:t>
      </w:r>
      <w:r>
        <w:t xml:space="preserve"> en diagnostic de pannes, maintenance préventive et corrective, électricité, GMAO et normes de sécurité. Or ces savoir-faire sont détenus par les agents les plus anciens, et l’effort de formation actuel (≈ 5 formations par an) ne permet ni de les transmettre, ni de développer les compétences nouvelles en </w:t>
      </w:r>
      <w:r>
        <w:rPr>
          <w:b/>
          <w:bCs/>
        </w:rPr>
        <w:t xml:space="preserve">CVC et rénovation énergétique</w:t>
      </w:r>
      <w:r>
        <w:t xml:space="preserve">, pourtant indispensables au projet de transition écologique. </w:t>
      </w:r>
      <w:r>
        <w:rPr>
          <w:b/>
          <w:bCs/>
        </w:rPr>
        <w:t xml:space="preserve">Risque : perte de continuité du service de maintenance des écoles et équipements, et recours accru – et coûteux – à la sous-traitance.</w:t>
      </w:r>
    </w:p>
    <w:p>
      <w:pPr>
        <w:pStyle w:val="Heading2"/>
        <w:spacing w:after="80" w:before="160"/>
      </w:pPr>
      <w:r>
        <w:t xml:space="preserve">3.2 Conducteurs d’engins et chauffeurs poids lourds (DST)</w:t>
      </w:r>
    </w:p>
    <w:p>
      <w:pPr>
        <w:spacing w:after="100" w:line="264"/>
        <w:jc w:val="both"/>
      </w:pPr>
      <w:r>
        <w:t xml:space="preserve">L’audit signale de nombreux départs à la retraite et peu de candidats. En l’absence de données détaillées, la cellule retient l’hypothèse que la part d’agents de plus de 57 ans y est au moins égale à celle de la DST (25 %). Ces métiers exigent des habilitations longues et coûteuses (permis C/CE, CACES, FIMO/FCO) et subissent la concurrence du secteur privé du transport. </w:t>
      </w:r>
      <w:r>
        <w:rPr>
          <w:b/>
          <w:bCs/>
        </w:rPr>
        <w:t xml:space="preserve">Risque : rupture de services visibles par les usagers</w:t>
      </w:r>
      <w:r>
        <w:t xml:space="preserve"> (propreté urbaine, voirie, logistique des manifestations). </w:t>
      </w:r>
      <w:r>
        <w:rPr>
          <w:b/>
          <w:bCs/>
        </w:rPr>
        <w:t xml:space="preserve">Levier identifié :</w:t>
      </w:r>
      <w:r>
        <w:t xml:space="preserve"> former des ouvriers de la DST au permis PL (passerelle interne) et organiser un tutorat par les conducteurs seniors avant leur départ.</w:t>
      </w:r>
    </w:p>
    <w:p>
      <w:pPr>
        <w:pStyle w:val="Heading2"/>
        <w:spacing w:after="80" w:before="160"/>
      </w:pPr>
      <w:r>
        <w:t xml:space="preserve">3.3 Gestionnaires RH expérimentés (DR)</w:t>
      </w:r>
    </w:p>
    <w:p>
      <w:pPr>
        <w:spacing w:after="100" w:line="264"/>
        <w:jc w:val="both"/>
      </w:pPr>
      <w:r>
        <w:t xml:space="preserve">Plusieurs agents clés maîtrisent seuls des procédures complexes (paie, carrières statutaires, retraites) et devraient partir dans les prochaines années ; la pyramide de la DR (45–55 ans, peu de jeunes cadres) limite la relève. Dans le même temps, la charge augmente : nouvelles obligations réglementaires, projet SIRH, accompagnement des managers. </w:t>
      </w:r>
      <w:r>
        <w:rPr>
          <w:b/>
          <w:bCs/>
        </w:rPr>
        <w:t xml:space="preserve">Risque : perte de savoirs non formalisés, erreurs de paie et affaiblissement de la fonction RH au moment précis où elle doit piloter la démarche GEPP.</w:t>
      </w:r>
      <w:r>
        <w:t xml:space="preserve"> Ce métier est donc critique pour l’ensemble de la ville, pas seulement pour la DR.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138"/>
        <w:gridCol w:w="2300"/>
        <w:gridCol w:w="1400"/>
      </w:tblGrid>
      <w:tr>
        <w:trPr>
          <w:tblHeader/>
        </w:trPr>
        <w:tc>
          <w:tcPr>
            <w:tcW w:type="dxa" w:w="28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Métier critique</w:t>
            </w:r>
          </w:p>
        </w:tc>
        <w:tc>
          <w:tcPr>
            <w:tcW w:type="dxa" w:w="3138"/>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Risque principal</w:t>
            </w:r>
          </w:p>
        </w:tc>
        <w:tc>
          <w:tcPr>
            <w:tcW w:type="dxa" w:w="23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Horizon</w:t>
            </w:r>
          </w:p>
        </w:tc>
        <w:tc>
          <w:tcPr>
            <w:tcW w:type="dxa" w:w="14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Impact</w:t>
            </w:r>
          </w:p>
        </w:tc>
      </w:tr>
      <w:tr>
        <w:tc>
          <w:tcPr>
            <w:tcW w:type="dxa" w:w="28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Techniciens maintenance bâtiments</w:t>
            </w:r>
          </w:p>
        </w:tc>
        <w:tc>
          <w:tcPr>
            <w:tcW w:type="dxa" w:w="31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36 % de départs + 10 % de vacances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Court / moyen terme (1–5 ans)</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Très fort</w:t>
            </w:r>
          </w:p>
        </w:tc>
      </w:tr>
      <w:tr>
        <w:tc>
          <w:tcPr>
            <w:tcW w:type="dxa" w:w="28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Conducteurs d’engins / PL</w:t>
            </w:r>
          </w:p>
        </w:tc>
        <w:tc>
          <w:tcPr>
            <w:tcW w:type="dxa" w:w="31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Départs non remplacés, pénurie de candidats</w:t>
            </w:r>
          </w:p>
        </w:tc>
        <w:tc>
          <w:tcPr>
            <w:tcW w:type="dxa" w:w="23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Court terme (1–3 ans)</w:t>
            </w:r>
          </w:p>
        </w:tc>
        <w:tc>
          <w:tcPr>
            <w:tcW w:type="dxa" w:w="140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vAlign w:val="center"/>
          </w:tcPr>
          <w:p>
            <w:pPr>
              <w:spacing w:after="0"/>
            </w:pPr>
            <w:r>
              <w:rPr>
                <w:sz w:val="18"/>
                <w:szCs w:val="18"/>
              </w:rPr>
              <w:t xml:space="preserve">Fort</w:t>
            </w:r>
          </w:p>
        </w:tc>
      </w:tr>
      <w:tr>
        <w:tc>
          <w:tcPr>
            <w:tcW w:type="dxa" w:w="2800"/>
            <w:tcBorders>
              <w:top w:val="single" w:color="BFBFBF" w:sz="4"/>
              <w:left w:val="single" w:color="BFBFBF" w:sz="4"/>
              <w:bottom w:val="single" w:color="BFBFBF" w:sz="4"/>
              <w:right w:val="single" w:color="BFBFBF" w:sz="4"/>
            </w:tcBorders>
            <w:shd w:fill="DEEAF6" w:color="auto" w:val="clear"/>
            <w:tcMar>
              <w:top w:type="dxa" w:w="50"/>
              <w:left w:type="dxa" w:w="90"/>
              <w:bottom w:type="dxa" w:w="50"/>
              <w:right w:type="dxa" w:w="90"/>
            </w:tcMar>
            <w:vAlign w:val="center"/>
          </w:tcPr>
          <w:p>
            <w:pPr>
              <w:spacing w:after="0"/>
            </w:pPr>
            <w:r>
              <w:rPr>
                <w:sz w:val="18"/>
                <w:szCs w:val="18"/>
              </w:rPr>
              <w:t xml:space="preserve">Gestionnaires RH expérimentés</w:t>
            </w:r>
          </w:p>
        </w:tc>
        <w:tc>
          <w:tcPr>
            <w:tcW w:type="dxa" w:w="31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Perte de savoirs rares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Moyen terme (3–5 ans)</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Fort</w:t>
            </w:r>
          </w:p>
        </w:tc>
      </w:tr>
    </w:tbl>
    <w:p>
      <w:pPr>
        <w:pStyle w:val="Heading1"/>
        <w:spacing w:after="120" w:before="240"/>
      </w:pPr>
      <w:r>
        <w:t xml:space="preserve">4. Synthèse du diagnostic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Forces – atouts</w:t>
            </w:r>
          </w:p>
        </w:tc>
        <w:tc>
          <w:tcPr>
            <w:tcW w:type="dxa" w:w="4819"/>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Faiblesses et risques</w:t>
            </w:r>
          </w:p>
        </w:tc>
      </w:tr>
      <w:t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 DECS jeune (43 ans) : un vivier pour l’avenir</w:t>
            </w:r>
          </w:p>
          <w:p>
            <w:pPr>
              <w:spacing w:after="0"/>
            </w:pPr>
            <w:r>
              <w:rPr>
                <w:sz w:val="18"/>
                <w:szCs w:val="18"/>
              </w:rPr>
              <w:t xml:space="preserve">• Budget formation en hausse</w:t>
            </w:r>
          </w:p>
          <w:p>
            <w:pPr>
              <w:spacing w:after="0"/>
            </w:pPr>
            <w:r>
              <w:rPr>
                <w:sz w:val="18"/>
                <w:szCs w:val="18"/>
              </w:rPr>
              <w:t xml:space="preserve">• Savoir-faire expérimenté à la DST et à la DR, à transmettre</w:t>
            </w:r>
          </w:p>
          <w:p>
            <w:pPr>
              <w:spacing w:after="0"/>
            </w:pPr>
            <w:r>
              <w:rPr>
                <w:sz w:val="18"/>
                <w:szCs w:val="18"/>
              </w:rPr>
              <w:t xml:space="preserve">• Grande diversité de métiers : passerelles possibles</w:t>
            </w:r>
          </w:p>
          <w:p>
            <w:pPr>
              <w:spacing w:after="0"/>
            </w:pPr>
            <w:r>
              <w:rPr>
                <w:sz w:val="18"/>
                <w:szCs w:val="18"/>
              </w:rPr>
              <w:t xml:space="preserve">• Projet de mandat qui donne un cap (écologie, numérique)</w:t>
            </w:r>
          </w:p>
          <w:p>
            <w:pPr>
              <w:spacing w:after="0"/>
            </w:pPr>
            <w:r>
              <w:rPr>
                <w:sz w:val="18"/>
                <w:szCs w:val="18"/>
              </w:rPr>
              <w:t xml:space="preserve">• Audit réalisé : prise de conscience de la direction</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 DST vieillissante : ≈ 95 départs possibles en 5–7 ans</w:t>
            </w:r>
          </w:p>
          <w:p>
            <w:pPr>
              <w:spacing w:after="0"/>
            </w:pPr>
            <w:r>
              <w:rPr>
                <w:sz w:val="18"/>
                <w:szCs w:val="18"/>
              </w:rPr>
              <w:t xml:space="preserve">• Mobilité interne très faible (≈ 16 agents par an)</w:t>
            </w:r>
          </w:p>
          <w:p>
            <w:pPr>
              <w:spacing w:after="0"/>
            </w:pPr>
            <w:r>
              <w:rPr>
                <w:sz w:val="18"/>
                <w:szCs w:val="18"/>
              </w:rPr>
              <w:t xml:space="preserve">• Formation centrée sur l’obligatoire</w:t>
            </w:r>
          </w:p>
          <w:p>
            <w:pPr>
              <w:spacing w:after="0"/>
            </w:pPr>
            <w:r>
              <w:rPr>
                <w:sz w:val="18"/>
                <w:szCs w:val="18"/>
              </w:rPr>
              <w:t xml:space="preserve">• Précarité à la DECS, turnover animation et informatique</w:t>
            </w:r>
          </w:p>
          <w:p>
            <w:pPr>
              <w:spacing w:after="0"/>
            </w:pPr>
            <w:r>
              <w:rPr>
                <w:sz w:val="18"/>
                <w:szCs w:val="18"/>
              </w:rPr>
              <w:t xml:space="preserve">• Peu de jeunes cadres à la DR</w:t>
            </w:r>
          </w:p>
          <w:p>
            <w:pPr>
              <w:spacing w:after="0"/>
            </w:pPr>
            <w:r>
              <w:rPr>
                <w:sz w:val="18"/>
                <w:szCs w:val="18"/>
              </w:rPr>
              <w:t xml:space="preserve">• Faible attractivité (CVC, informatique, PL)</w:t>
            </w:r>
          </w:p>
          <w:p>
            <w:pPr>
              <w:spacing w:after="0"/>
            </w:pPr>
            <w:r>
              <w:rPr>
                <w:sz w:val="18"/>
                <w:szCs w:val="18"/>
              </w:rPr>
              <w:t xml:space="preserve">• Données RH incomplètes (contractuels, vacances par métier)</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Opportunités – leviers</w:t>
            </w:r>
          </w:p>
        </w:tc>
        <w:tc>
          <w:tcPr>
            <w:tcW w:type="dxa" w:w="4819"/>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vAlign w:val="center"/>
          </w:tcPr>
          <w:p>
            <w:pPr>
              <w:spacing w:after="0"/>
            </w:pPr>
            <w:r>
              <w:rPr>
                <w:b/>
                <w:bCs/>
                <w:color w:val="FFFFFF"/>
                <w:sz w:val="18"/>
                <w:szCs w:val="18"/>
              </w:rPr>
              <w:t xml:space="preserve">Menaces à moyen terme</w:t>
            </w:r>
          </w:p>
        </w:tc>
      </w:tr>
      <w:t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 Les départs en retraite permettent de redéfinir les postes (énergie, numérique)</w:t>
            </w:r>
          </w:p>
          <w:p>
            <w:pPr>
              <w:spacing w:after="0"/>
            </w:pPr>
            <w:r>
              <w:rPr>
                <w:sz w:val="18"/>
                <w:szCs w:val="18"/>
              </w:rPr>
              <w:t xml:space="preserve">• Tutorat et binômes seniors / juniors</w:t>
            </w:r>
          </w:p>
          <w:p>
            <w:pPr>
              <w:spacing w:after="0"/>
            </w:pPr>
            <w:r>
              <w:rPr>
                <w:sz w:val="18"/>
                <w:szCs w:val="18"/>
              </w:rPr>
              <w:t xml:space="preserve">• Apprentissage et partenariats (CNFPT, lycées pro)</w:t>
            </w:r>
          </w:p>
          <w:p>
            <w:pPr>
              <w:spacing w:after="0"/>
            </w:pPr>
            <w:r>
              <w:rPr>
                <w:sz w:val="18"/>
                <w:szCs w:val="18"/>
              </w:rPr>
              <w:t xml:space="preserve">• Passerelles : ouvriers → conducteurs PL, animateurs → titularisation, administratifs → gestion RH / SIRH</w:t>
            </w:r>
          </w:p>
          <w:p>
            <w:pPr>
              <w:spacing w:after="0"/>
            </w:pPr>
            <w:r>
              <w:rPr>
                <w:sz w:val="18"/>
                <w:szCs w:val="18"/>
              </w:rPr>
              <w:t xml:space="preserve">• Formation aux compétences d’avenir</w:t>
            </w:r>
          </w:p>
          <w:p>
            <w:pPr>
              <w:spacing w:after="0"/>
            </w:pPr>
            <w:r>
              <w:rPr>
                <w:sz w:val="18"/>
                <w:szCs w:val="18"/>
              </w:rPr>
              <w:t xml:space="preserve">• Mutualisation avec l’agglomération (eau, déchets)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sz w:val="18"/>
                <w:szCs w:val="18"/>
              </w:rPr>
              <w:t xml:space="preserve">• Ruptures de service visibles par les usagers</w:t>
            </w:r>
          </w:p>
          <w:p>
            <w:pPr>
              <w:spacing w:after="0"/>
            </w:pPr>
            <w:r>
              <w:rPr>
                <w:sz w:val="18"/>
                <w:szCs w:val="18"/>
              </w:rPr>
              <w:t xml:space="preserve">• Perte définitive de compétences critiques</w:t>
            </w:r>
          </w:p>
          <w:p>
            <w:pPr>
              <w:spacing w:after="0"/>
            </w:pPr>
            <w:r>
              <w:rPr>
                <w:sz w:val="18"/>
                <w:szCs w:val="18"/>
              </w:rPr>
              <w:t xml:space="preserve">• Décrochage face à la digitalisation des procédures</w:t>
            </w:r>
          </w:p>
          <w:p>
            <w:pPr>
              <w:spacing w:after="0"/>
            </w:pPr>
            <w:r>
              <w:rPr>
                <w:sz w:val="18"/>
                <w:szCs w:val="18"/>
              </w:rPr>
              <w:t xml:space="preserve">• Hausse des coûts de sous-traitance et d’intérim</w:t>
            </w:r>
          </w:p>
          <w:p>
            <w:pPr>
              <w:spacing w:after="0"/>
            </w:pPr>
            <w:r>
              <w:rPr>
                <w:sz w:val="18"/>
                <w:szCs w:val="18"/>
              </w:rPr>
              <w:t xml:space="preserve">• Usure professionnelle et inaptitudes (pénibilité)</w:t>
            </w:r>
          </w:p>
          <w:p>
            <w:pPr>
              <w:spacing w:after="0"/>
            </w:pPr>
            <w:r>
              <w:rPr>
                <w:sz w:val="18"/>
                <w:szCs w:val="18"/>
              </w:rPr>
              <w:t xml:space="preserve">• Démotivation d’agents « bloqués » dans leur poste</w:t>
            </w:r>
          </w:p>
        </w:tc>
      </w:tr>
    </w:tbl>
    <w:p>
      <w:pPr>
        <w:spacing w:after="80"/>
      </w:pPr>
    </w:p>
    <w:p>
      <w:pPr>
        <w:spacing w:after="100" w:line="264"/>
        <w:jc w:val="both"/>
      </w:pPr>
      <w:r>
        <w:rPr>
          <w:b/>
          <w:bCs/>
        </w:rPr>
        <w:t xml:space="preserve">Conclusion.</w:t>
      </w:r>
      <w:r>
        <w:t xml:space="preserve"> Mont-Rivière fait face à un </w:t>
      </w:r>
      <w:r>
        <w:rPr>
          <w:b/>
          <w:bCs/>
        </w:rPr>
        <w:t xml:space="preserve">double défi</w:t>
      </w:r>
      <w:r>
        <w:t xml:space="preserve"> : remplacer rapidement une génération d’agents techniques et administratifs expérimentés, tout en faisant évoluer les compétences vers la transition énergétique, le numérique et la relation usagers. La faiblesse de la mobilité interne et de la formation aux compétences d’avenir empêche aujourd’hui la ville de préparer ce renouvellement en interne. Quatre priorités en découlent pour les scénarios et le plan d’actions : </w:t>
      </w:r>
      <w:r>
        <w:rPr>
          <w:b/>
          <w:bCs/>
        </w:rPr>
        <w:t xml:space="preserve">(1)</w:t>
      </w:r>
      <w:r>
        <w:t xml:space="preserve"> sécuriser la transmission des savoirs sur les trois métiers critiques, </w:t>
      </w:r>
      <w:r>
        <w:rPr>
          <w:b/>
          <w:bCs/>
        </w:rPr>
        <w:t xml:space="preserve">(2)</w:t>
      </w:r>
      <w:r>
        <w:t xml:space="preserve"> réorienter la formation vers les compétences d’avenir, </w:t>
      </w:r>
      <w:r>
        <w:rPr>
          <w:b/>
          <w:bCs/>
        </w:rPr>
        <w:t xml:space="preserve">(3)</w:t>
      </w:r>
      <w:r>
        <w:t xml:space="preserve"> créer des passerelles de mobilité et des parcours attractifs, </w:t>
      </w:r>
      <w:r>
        <w:rPr>
          <w:b/>
          <w:bCs/>
        </w:rPr>
        <w:t xml:space="preserve">(4)</w:t>
      </w:r>
      <w:r>
        <w:t xml:space="preserve"> réduire la précarité à la DECS et fiabiliser les données RH pour piloter la démarche.</w:t>
      </w:r>
    </w:p>
    <w:sectPr>
      <w:footerReference w:type="default" r:id="rId7"/>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Cellule GEPP – Diagnostic emplois–compétences – Ville de Mont-Rivière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4E79"/>
      <w:sz w:val="28"/>
      <w:szCs w:val="28"/>
    </w:rPr>
  </w:style>
  <w:style w:type="paragraph" w:styleId="Heading2">
    <w:name w:val="Heading 2"/>
    <w:basedOn w:val="Normal"/>
    <w:next w:val="Normal"/>
    <w:qFormat/>
    <w:pPr>
      <w:outlineLvl w:val="1"/>
    </w:pPr>
    <w:rPr>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d1e886d12c3a1521cc43cbc63a9b25058873cfe.png"/><Relationship Id="rId9" Type="http://schemas.openxmlformats.org/officeDocument/2006/relationships/image" Target="media/80675610323c3770122cddf546511a6606d00f56.png"/><Relationship Id="rId10" Type="http://schemas.openxmlformats.org/officeDocument/2006/relationships/image" Target="media/93f2e57ffccff0ab20d847770b0c1335e4bab5e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2026-09-24T09:23:15.849Z</dcterms:created>
  <dcterms:modified xsi:type="dcterms:W3CDTF">2026-09-24T09:23:15.849Z</dcterms:modified>
</cp:coreProperties>
</file>

<file path=docProps/custom.xml><?xml version="1.0" encoding="utf-8"?>
<Properties xmlns="http://schemas.openxmlformats.org/officeDocument/2006/custom-properties" xmlns:vt="http://schemas.openxmlformats.org/officeDocument/2006/docPropsVTypes"/>
</file>