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Serious game « Cellule GEPP » – Ville de Mont-Rivière</w:t>
      </w:r>
    </w:p>
    <w:p>
      <w:pPr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Diagnostic emplois–compétences de la ville de Mont-Rivière</w:t>
      </w:r>
    </w:p>
    <w:p>
      <w:pPr>
        <w:pBdr>
          <w:bottom w:val="single" w:color="1F4E79" w:sz="8" w:space="6"/>
        </w:pBdr>
        <w:spacing w:after="200"/>
        <w:jc w:val="center"/>
      </w:pPr>
      <w:r>
        <w:rPr>
          <w:color w:val="595959"/>
          <w:sz w:val="20"/>
          <w:szCs w:val="20"/>
        </w:rPr>
        <w:t xml:space="preserve">Livrable séance 3 – Master AES – Cellule GEPP</w:t>
      </w:r>
    </w:p>
    <w:p>
      <w:pPr>
        <w:spacing w:after="100" w:line="264"/>
        <w:jc w:val="both"/>
      </w:pPr>
      <w:r>
        <w:rPr>
          <w:b/>
          <w:bCs/>
        </w:rPr>
        <w:t xml:space="preserve">Objet.</w:t>
      </w:r>
      <w:r>
        <w:t xml:space="preserve"> Ce diagnostic analyse la situation des emplois et des compétences des 950 agents de la ville pour en dégager les forces, les faiblesses et les principaux risques à horizon 3–5 ans. Il s’appuie sur les données chiffrées du dossier (année N et moyenne des 3 dernières années), sur l’audit interne et sur la cartographie des métiers réalisée en séance 2. Les valeurs précédées de « ≈ » sont calculées par la cellule à partir de ces données.</w:t>
      </w:r>
    </w:p>
    <w:p>
      <w:pPr>
        <w:pStyle w:val="Heading1"/>
        <w:spacing w:after="120" w:before="240"/>
      </w:pPr>
      <w:r>
        <w:t xml:space="preserve">1. Analyse globale</w:t>
      </w:r>
    </w:p>
    <w:p>
      <w:pPr>
        <w:pStyle w:val="Heading2"/>
        <w:spacing w:after="80" w:before="160"/>
      </w:pPr>
      <w:r>
        <w:t xml:space="preserve">1.1 Effectifs, âge et statut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8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Ville</w:t>
            </w:r>
          </w:p>
        </w:tc>
      </w:tr>
      <w:tr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Effectifs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380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320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950</w:t>
            </w:r>
          </w:p>
        </w:tc>
      </w:tr>
      <w:tr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 des effectifs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40 %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34 %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26 %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100 %</w:t>
            </w:r>
          </w:p>
        </w:tc>
      </w:tr>
      <w:tr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Âge moyen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51 ans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43 ans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47 ans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47 ans</w:t>
            </w:r>
          </w:p>
        </w:tc>
      </w:tr>
      <w:tr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Mobilité interne (3 ans)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 (8 %)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25 (8 %)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 (6 %)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70 (7 %)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 xml:space="preserve">Tableau 1 – Principaux indicateurs par direction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838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Indicateur global (année 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Soit en nombre d’agents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Âge moyen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47 ans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Agents de 55 ans et plus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28 %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≈ 266 agents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Titulaires / CDI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80 %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≈ 760 agents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CDD / contrats à durée déterminée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20 %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≈ 190 agents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Postes vacants (tous métiers)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4 %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≈ 38 postes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Postes vacants dans les métiers critiques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9 %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plus du double de la moyenne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 xml:space="preserve">Tableau 2 – Indicateurs GEPP de base de la ville</w:t>
      </w:r>
    </w:p>
    <w:p>
      <w:pPr>
        <w:spacing w:after="100" w:line="264"/>
        <w:jc w:val="both"/>
      </w:pPr>
      <w:r>
        <w:t xml:space="preserve">La ville est marquée par un </w:t>
      </w:r>
      <w:r>
        <w:rPr>
          <w:b/>
          <w:bCs/>
        </w:rPr>
        <w:t xml:space="preserve">vieillissement significatif</w:t>
      </w:r>
      <w:r>
        <w:t xml:space="preserve"> : plus d’un agent sur quatre (28 %, ≈ 266 agents) a 55 ans ou plus et partira à la retraite dans les 10 prochaines années. Ce vieillissement est </w:t>
      </w:r>
      <w:r>
        <w:rPr>
          <w:b/>
          <w:bCs/>
        </w:rPr>
        <w:t xml:space="preserve">concentré à la DST</w:t>
      </w:r>
      <w:r>
        <w:t xml:space="preserve"> (51 ans de moyenne ; 45 % des agents de plus de 50 ans et 25 % de plus de 57 ans, soit ≈ 95 agents proches de la retraite). La </w:t>
      </w:r>
      <w:r>
        <w:rPr>
          <w:b/>
          <w:bCs/>
        </w:rPr>
        <w:t xml:space="preserve">DECS est la direction la plus jeune</w:t>
      </w:r>
      <w:r>
        <w:t xml:space="preserve"> (43 ans) mais la plus instable, et la </w:t>
      </w:r>
      <w:r>
        <w:rPr>
          <w:b/>
          <w:bCs/>
        </w:rPr>
        <w:t xml:space="preserve">DR</w:t>
      </w:r>
      <w:r>
        <w:t xml:space="preserve"> présente un bloc d’agents de 45–55 ans avec peu de jeunes cadres, ce qui annonce des départs groupés à moyen terme.</w:t>
      </w:r>
    </w:p>
    <w:p>
      <w:pPr>
        <w:spacing w:after="100" w:line="264"/>
        <w:jc w:val="both"/>
      </w:pPr>
      <w:r>
        <w:rPr>
          <w:b/>
          <w:bCs/>
        </w:rPr>
        <w:t xml:space="preserve">Un agent sur cinq est contractuel</w:t>
      </w:r>
      <w:r>
        <w:t xml:space="preserve"> (≈ 190 agents), principalement dans l’animation et les emplois saisonniers de la DECS. Enfin, le taux de vacance des métiers critiques (9 %) est plus de deux fois supérieur à la moyenne (4 %) : </w:t>
      </w:r>
      <w:r>
        <w:rPr>
          <w:b/>
          <w:bCs/>
        </w:rPr>
        <w:t xml:space="preserve">les difficultés de recrutement sont ciblées sur quelques métiers</w:t>
      </w:r>
      <w:r>
        <w:t xml:space="preserve">, pas généralisées.</w:t>
      </w:r>
    </w:p>
    <w:p>
      <w:pPr>
        <w:pStyle w:val="Heading2"/>
        <w:spacing w:after="80" w:before="160"/>
      </w:pPr>
      <w:r>
        <w:t xml:space="preserve">1.2 Turnover et recrutements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50"/>
        <w:gridCol w:w="1850"/>
        <w:gridCol w:w="1200"/>
        <w:gridCol w:w="36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Départs / an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Recrutements / an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Solde / an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Lecture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DST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5 % (≈ 19)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4 % (≈ 15)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 4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Départs surtout en retraite, postes non remplacés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8 % (≈ 26)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9 % (≈ 29)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+ 3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Fort renouvellement : animation, emplois précaires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4 % (≈ 10)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5 % (≈ 12)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+ 2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Départs sur postes qualifiés (informatique, juridique)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Ville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6 % (≈ 55)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6 % (≈ 56)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≈ 0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Turnover modéré mais concentré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 xml:space="preserve">Tableau 3 – Turnover et recrutements (moyenne des 3 dernières années)</w:t>
      </w:r>
    </w:p>
    <w:p>
      <w:pPr>
        <w:spacing w:after="100" w:line="264"/>
        <w:jc w:val="both"/>
      </w:pPr>
      <w:r>
        <w:t xml:space="preserve">Globalement la ville remplace ses départs (6 % / 6 %), mais la situation diffère fortement selon les directions. </w:t>
      </w:r>
      <w:r>
        <w:rPr>
          <w:b/>
          <w:bCs/>
        </w:rPr>
        <w:t xml:space="preserve">La DST est la seule direction en solde négatif</w:t>
      </w:r>
      <w:r>
        <w:t xml:space="preserve"> : elle perd environ 4 agents par an, soit ≈ 20 agents sur 5 ans, alors que ses départs à la retraite vont s’accélérer. </w:t>
      </w:r>
      <w:r>
        <w:rPr>
          <w:b/>
          <w:bCs/>
        </w:rPr>
        <w:t xml:space="preserve">La DECS « tourne »</w:t>
      </w:r>
      <w:r>
        <w:t xml:space="preserve"> : 8 % de départs et 9 % de recrutements par an traduisent une main-d’œuvre instable, coûteuse à recruter et à former. </w:t>
      </w:r>
      <w:r>
        <w:rPr>
          <w:b/>
          <w:bCs/>
        </w:rPr>
        <w:t xml:space="preserve">La DR</w:t>
      </w:r>
      <w:r>
        <w:t xml:space="preserve"> perd des profils qualifiés attirés par le secteur privé.</w:t>
      </w:r>
    </w:p>
    <w:p>
      <w:pPr>
        <w:pStyle w:val="Heading2"/>
        <w:spacing w:after="80" w:before="160"/>
      </w:pPr>
      <w:r>
        <w:t xml:space="preserve">1.3 Mobilité interne et 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00"/>
        <w:gridCol w:w="3538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Formation (année 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Montant / nombre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formation total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350 000 €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≈ 368 € par agent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Formation réglementaire (sécurité, hygiène)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55 %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≈ 192 500 €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Formation « métiers en tension »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20 %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≈ 70 000 €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Formation « management / conduite du changement »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10 %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≈ 35 000 €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Autres formations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15 %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≈ 52 500 €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Agents ayant suivi au moins une formation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44 %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420 agents – </w:t>
            </w:r>
            <w:r>
              <w:rPr>
                <w:sz w:val="18"/>
                <w:szCs w:val="18"/>
              </w:rPr>
              <w:t xml:space="preserve">530 agents non formés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 du budget RH consacrée à la formation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2,5 %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 xml:space="preserve">Tableau 4 – Effort de formation</w:t>
      </w:r>
    </w:p>
    <w:p>
      <w:pPr>
        <w:spacing w:after="100" w:line="264"/>
        <w:jc w:val="both"/>
      </w:pPr>
      <w:r>
        <w:t xml:space="preserve">La mobilité interne reste limitée : </w:t>
      </w:r>
      <w:r>
        <w:rPr>
          <w:b/>
          <w:bCs/>
        </w:rPr>
        <w:t xml:space="preserve">70 agents ont changé de poste en 3 ans (7 %)</w:t>
      </w:r>
      <w:r>
        <w:t xml:space="preserve">, soit ≈ 23 par an, pour ≈ 55 départs par an. La ville renouvelle donc ses compétences davantage par le recrutement externe que par l’évolution de ses agents, ce qui nourrit le sentiment d’être « bloqué » relevé par l’audit. La formation est </w:t>
      </w:r>
      <w:r>
        <w:rPr>
          <w:b/>
          <w:bCs/>
        </w:rPr>
        <w:t xml:space="preserve">dominée par le réglementaire (55 %)</w:t>
      </w:r>
      <w:r>
        <w:t xml:space="preserve"> ; les compétences d’avenir (numérique, transition énergétique, management) ne disposent que de 30 % du budget, et </w:t>
      </w:r>
      <w:r>
        <w:rPr>
          <w:b/>
          <w:bCs/>
        </w:rPr>
        <w:t xml:space="preserve">plus de la moitié des agents (56 %) n’a suivi aucune formation</w:t>
      </w:r>
      <w:r>
        <w:t xml:space="preserve"> dans l’année.</w:t>
      </w:r>
    </w:p>
    <w:p>
      <w:pPr>
        <w:pStyle w:val="Heading1"/>
        <w:spacing w:after="120" w:before="240"/>
      </w:pPr>
      <w:r>
        <w:t xml:space="preserve">2. Zoom sur les familles de métiers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850"/>
        <w:gridCol w:w="1150"/>
        <w:gridCol w:w="3338"/>
        <w:gridCol w:w="11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Famille de métiers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Effectif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Constat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Tension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Conducteurs d’engins / chauffeurs PL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50 % de départs en retraite à 5 ans, 3 candidats par poste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Techniciens de maintenance des bâtiments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36 % de départs à 5 ans, 10 % de postes vacants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Autres familles (VRD, espaces verts, ingénieurs, encadrants)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270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Cœur / émergent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Vieillissement, pénibilité, besoin en rénovation énergétique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ATSEM et agents d’entretien des écoles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Cœur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1re famille de la DECS, pénibilité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Animateurs péri / extrascolaires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Précarité, temps partiels, fort turnover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Bibliothécaires / médiathécaires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Transformation numérique des métiers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Médiateurs culturels / événementiel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Nouvelles attentes des usagers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Éducateurs sportifs, maîtres-nageurs, gardiens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Cœur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Horaires décalés, travail le week-end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Encadrants et responsables de service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Cœur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Faible vivier de managers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Gestionnaires / assistants RH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25 % de départs en retraite, fuite vers d’autres employeurs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Gestionnaires budgétaires / comptables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Cœur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Digitalisation des procédures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Informaticiens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Concurrence du privé, turnover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Juristes (marchés, contentieux)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Cœur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Départs sur postes qualifiés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Assistants administratifs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Cœur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Métier à transformer (dématérialisation)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Chefs de projet (SI, modernisation)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Émergent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Compétences rares, besoin croissant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Moyenne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 xml:space="preserve">Tableau 5 – Cartographie des familles de métiers et niveau de tension</w:t>
      </w:r>
    </w:p>
    <w:p>
      <w:pPr>
        <w:spacing w:after="100" w:line="264"/>
        <w:jc w:val="both"/>
      </w:pPr>
      <w:r>
        <w:rPr>
          <w:b/>
          <w:bCs/>
        </w:rPr>
        <w:t xml:space="preserve">Lecture :</w:t>
      </w:r>
      <w:r>
        <w:t xml:space="preserve"> la nature des tensions diffère selon les directions. À la </w:t>
      </w:r>
      <w:r>
        <w:rPr>
          <w:b/>
          <w:bCs/>
        </w:rPr>
        <w:t xml:space="preserve">DST</w:t>
      </w:r>
      <w:r>
        <w:t xml:space="preserve">, elle est </w:t>
      </w:r>
      <w:r>
        <w:rPr>
          <w:b/>
          <w:bCs/>
        </w:rPr>
        <w:t xml:space="preserve">démographique</w:t>
      </w:r>
      <w:r>
        <w:t xml:space="preserve"> (départs à la retraite non remplacés). À la </w:t>
      </w:r>
      <w:r>
        <w:rPr>
          <w:b/>
          <w:bCs/>
        </w:rPr>
        <w:t xml:space="preserve">DECS</w:t>
      </w:r>
      <w:r>
        <w:t xml:space="preserve">, elle est </w:t>
      </w:r>
      <w:r>
        <w:rPr>
          <w:b/>
          <w:bCs/>
        </w:rPr>
        <w:t xml:space="preserve">statutaire</w:t>
      </w:r>
      <w:r>
        <w:t xml:space="preserve"> : les 90 animateurs concentrent la précarité et le turnover. À la </w:t>
      </w:r>
      <w:r>
        <w:rPr>
          <w:b/>
          <w:bCs/>
        </w:rPr>
        <w:t xml:space="preserve">DR</w:t>
      </w:r>
      <w:r>
        <w:t xml:space="preserve">, elle relève de l’</w:t>
      </w:r>
      <w:r>
        <w:rPr>
          <w:b/>
          <w:bCs/>
        </w:rPr>
        <w:t xml:space="preserve">attractivité et de la transmission</w:t>
      </w:r>
      <w:r>
        <w:t xml:space="preserve"> (informaticiens attirés par le privé, gestionnaires RH détenteurs de savoirs rares). Cinq familles, représentant ≈ 300 agents (près d’un tiers des effectifs), sont en tension forte.</w:t>
      </w:r>
    </w:p>
    <w:p>
      <w:pPr>
        <w:pStyle w:val="Heading1"/>
        <w:spacing w:after="120" w:before="240"/>
      </w:pPr>
      <w:r>
        <w:t xml:space="preserve">3. Analyse des trois métiers critiques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46"/>
        <w:gridCol w:w="2546"/>
        <w:gridCol w:w="254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Conducteurs PL (DST)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Techniciens maintenance (DST)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Gestionnaires RH (DR)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Effectif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Âge moyen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54 ans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52 ans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49 ans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Agents ≥ 57 ans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18 (</w:t>
            </w:r>
            <w:r>
              <w:rPr>
                <w:sz w:val="18"/>
                <w:szCs w:val="18"/>
              </w:rPr>
              <w:t xml:space="preserve">45 %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22 (31 %)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 (20 %)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Départs en retraite à 5 ans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 (</w:t>
            </w:r>
            <w:r>
              <w:rPr>
                <w:sz w:val="18"/>
                <w:szCs w:val="18"/>
              </w:rPr>
              <w:t xml:space="preserve">50 %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25 (</w:t>
            </w:r>
            <w:r>
              <w:rPr>
                <w:sz w:val="18"/>
                <w:szCs w:val="18"/>
              </w:rPr>
              <w:t xml:space="preserve">36 %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 (25 %)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Autres indicateurs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 candidatures par poste ouvert ; 2 % de départs hors retraite (3 ans)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10 % de postes vacants depuis plus de 6 mois ; 15 formations qualifiantes en 3 ans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 départs vers d’autres employeurs en 3 ans ; SIRH déployé dans 2 ans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 xml:space="preserve">Tableau 6 – Indicateurs des métiers critiques</w:t>
      </w:r>
    </w:p>
    <w:p>
      <w:pPr>
        <w:pStyle w:val="Heading2"/>
        <w:spacing w:after="80" w:before="160"/>
      </w:pPr>
      <w:r>
        <w:t xml:space="preserve">3.1 Conducteurs d’engins / chauffeurs PL</w:t>
      </w:r>
    </w:p>
    <w:p>
      <w:pPr>
        <w:spacing w:after="100" w:line="264"/>
        <w:jc w:val="both"/>
      </w:pPr>
      <w:r>
        <w:t xml:space="preserve">C’est le métier </w:t>
      </w:r>
      <w:r>
        <w:rPr>
          <w:b/>
          <w:bCs/>
        </w:rPr>
        <w:t xml:space="preserve">le plus exposé</w:t>
      </w:r>
      <w:r>
        <w:t xml:space="preserve"> : la moitié des conducteurs (20 sur 40) partira à la retraite d’ici 5 ans et 45 % ont déjà 57 ans ou plus. Le vivier externe est très faible (</w:t>
      </w:r>
      <w:r>
        <w:rPr>
          <w:b/>
          <w:bCs/>
        </w:rPr>
        <w:t xml:space="preserve">3 candidatures par poste</w:t>
      </w:r>
      <w:r>
        <w:t xml:space="preserve">) et ces postes exigent des habilitations longues et coûteuses (permis C/CE, CACES, FIMO/FCO). À l’inverse, les agents en place sont fidèles (2 % de départs hors retraite) : le risque est uniquement démographique, donc </w:t>
      </w:r>
      <w:r>
        <w:rPr>
          <w:b/>
          <w:bCs/>
        </w:rPr>
        <w:t xml:space="preserve">prévisible et anticipable</w:t>
      </w:r>
      <w:r>
        <w:t xml:space="preserve">. Sans action, la ville risque des ruptures de services visibles (propreté urbaine, voirie, logistique des manifestations).</w:t>
      </w:r>
    </w:p>
    <w:p>
      <w:pPr>
        <w:pStyle w:val="Heading2"/>
        <w:spacing w:after="80" w:before="160"/>
      </w:pPr>
      <w:r>
        <w:t xml:space="preserve">3.2 Techniciens de maintenance des bâtiments</w:t>
      </w:r>
    </w:p>
    <w:p>
      <w:pPr>
        <w:spacing w:after="100" w:line="264"/>
        <w:jc w:val="both"/>
      </w:pPr>
      <w:r>
        <w:t xml:space="preserve">25 départs à la retraite sur 70 agents (36 %) s’ajoutent à </w:t>
      </w:r>
      <w:r>
        <w:rPr>
          <w:b/>
          <w:bCs/>
        </w:rPr>
        <w:t xml:space="preserve">10 % de postes vacants depuis plus de 6 mois</w:t>
      </w:r>
      <w:r>
        <w:t xml:space="preserve"> (≈ 7 postes) : ≈ </w:t>
      </w:r>
      <w:r>
        <w:rPr>
          <w:b/>
          <w:bCs/>
        </w:rPr>
        <w:t xml:space="preserve">32 postes seront à pourvoir en 5 ans, soit près de la moitié de l’effectif</w:t>
      </w:r>
      <w:r>
        <w:t xml:space="preserve">. Or seules 15 formations qualifiantes ont été suivies en 3 ans (≈ 5 par an). Le référentiel de la séance 2 exige un niveau opérationnel à maîtrisé en diagnostic de pannes, électricité et GMAO, et les compétences en </w:t>
      </w:r>
      <w:r>
        <w:rPr>
          <w:b/>
          <w:bCs/>
        </w:rPr>
        <w:t xml:space="preserve">CVC et rénovation énergétique</w:t>
      </w:r>
      <w:r>
        <w:t xml:space="preserve"> – indispensables au projet de transition écologique – sont rares. Risque : perte de continuité de la maintenance des écoles et équipements, et recours accru à une sous-traitance coûteuse.</w:t>
      </w:r>
    </w:p>
    <w:p>
      <w:pPr>
        <w:pStyle w:val="Heading2"/>
        <w:spacing w:after="80" w:before="160"/>
      </w:pPr>
      <w:r>
        <w:t xml:space="preserve">3.3 Gestionnaires RH</w:t>
      </w:r>
    </w:p>
    <w:p>
      <w:pPr>
        <w:spacing w:after="100" w:line="264"/>
        <w:jc w:val="both"/>
      </w:pPr>
      <w:r>
        <w:t xml:space="preserve">Le risque combine </w:t>
      </w:r>
      <w:r>
        <w:rPr>
          <w:b/>
          <w:bCs/>
        </w:rPr>
        <w:t xml:space="preserve">départs à la retraite (15, soit 25 %)</w:t>
      </w:r>
      <w:r>
        <w:t xml:space="preserve"> et </w:t>
      </w:r>
      <w:r>
        <w:rPr>
          <w:b/>
          <w:bCs/>
        </w:rPr>
        <w:t xml:space="preserve">départs vers d’autres employeurs (8 en 3 ans, soit ≈ 13 %)</w:t>
      </w:r>
      <w:r>
        <w:t xml:space="preserve">. Au même rythme, ≈ 28 agents sur 60 pourraient quitter le service en 5 ans. Ce sont souvent les agents expérimentés qui maîtrisent les procédures complexes (paie, carrières statutaires, retraites), alors que la charge augmente : nouvelles obligations réglementaires, accompagnement des managers et </w:t>
      </w:r>
      <w:r>
        <w:rPr>
          <w:b/>
          <w:bCs/>
        </w:rPr>
        <w:t xml:space="preserve">déploiement du SIRH dans 2 ans</w:t>
      </w:r>
      <w:r>
        <w:t xml:space="preserve">. Ce métier est critique pour toute la ville, car c’est la fonction RH qui doit porter la démarche GEPP.</w:t>
      </w:r>
    </w:p>
    <w:p>
      <w:pPr>
        <w:spacing w:after="100" w:line="264"/>
        <w:jc w:val="both"/>
      </w:pPr>
      <w:r>
        <w:rPr>
          <w:b/>
          <w:bCs/>
        </w:rPr>
        <w:t xml:space="preserve">Au total, les trois métiers critiques (170 agents) devront faire face à 60 départs à la retraite en 5 ans (35 %)</w:t>
      </w:r>
      <w:r>
        <w:t xml:space="preserve">, auxquels s’ajoutent les vacances et les départs vers d’autres employeurs.</w:t>
      </w:r>
    </w:p>
    <w:p>
      <w:pPr>
        <w:pStyle w:val="Heading1"/>
        <w:spacing w:after="120" w:before="240"/>
      </w:pPr>
      <w:r>
        <w:t xml:space="preserve">4. SWOT par famille de métiers</w:t>
      </w:r>
    </w:p>
    <w:p>
      <w:pPr>
        <w:spacing w:after="100" w:line="264"/>
        <w:jc w:val="both"/>
      </w:pPr>
      <w:r>
        <w:t xml:space="preserve">Les métiers de la ville sont regroupés en quatre familles, conformément à la cartographie de la séance 2. Chaque famille fait l’objet d’une analyse forces / faiblesses / opportunités / menaces.</w:t>
      </w:r>
    </w:p>
    <w:p>
      <w:pPr>
        <w:pStyle w:val="Heading2"/>
        <w:spacing w:after="80" w:before="160"/>
      </w:pPr>
      <w:r>
        <w:t xml:space="preserve">4.1 Famille Techniques (DST – 380 agents)</w:t>
      </w:r>
    </w:p>
    <w:p>
      <w:pPr>
        <w:spacing w:after="100" w:line="264"/>
        <w:jc w:val="both"/>
      </w:pPr>
      <w:r>
        <w:rPr>
          <w:i/>
          <w:iCs/>
          <w:sz w:val="19"/>
          <w:szCs w:val="19"/>
        </w:rPr>
        <w:t xml:space="preserve">Ouvriers VRD, agents des espaces verts, techniciens de maintenance des bâtiments, conducteurs d’engins / PL, techniciens et ingénieurs, encadrants de proximité.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Forces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Faiblesses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• Savoir-faire technique solide et expérimenté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Agents fidèles : 2 % de départs hors retraite chez les conducteurs PL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Direction la plus importante (40 % des effectifs)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Mobilité interne dans la moyenne haute (8 % en 3 ans)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• Âge moyen le plus élevé (51 ans), 25 % d’agents de plus de 57 ans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Seule direction en solde négatif (– 4 agents par an)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10 % de postes vacants chez les techniciens de maintenance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Peu de formations qualifiantes (15 en 3 ans pour 70 techniciens)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Pénibilité physique des métiers ouvriers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Opportunités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Menaces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• Transition écologique : rénovation énergétique, CVC, énergies renouvelables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Remplacements pour recruter des profils nouveaux (énergie, télégestion)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Passerelle interne ouvriers → conducteurs PL (financement du permis)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Tutorat des seniors avant leur départ, apprentissage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• 50 % des conducteurs PL et 36 % des techniciens partent en 5 ans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Seulement 3 candidatures par poste de conducteur PL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Concurrence du privé sur les profils CVC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Ruptures de service (voirie, propreté, maintenance des écoles) et hausse de la sous-traitance</w:t>
            </w:r>
          </w:p>
        </w:tc>
      </w:tr>
    </w:tbl>
    <w:p>
      <w:pPr>
        <w:pStyle w:val="Heading2"/>
        <w:spacing w:after="80" w:before="160"/>
      </w:pPr>
      <w:r>
        <w:t xml:space="preserve">4.2 Famille Éducation / Animation (DECS – 200 agents)</w:t>
      </w:r>
    </w:p>
    <w:p>
      <w:pPr>
        <w:spacing w:after="100" w:line="264"/>
        <w:jc w:val="both"/>
      </w:pPr>
      <w:r>
        <w:rPr>
          <w:i/>
          <w:iCs/>
          <w:sz w:val="19"/>
          <w:szCs w:val="19"/>
        </w:rPr>
        <w:t xml:space="preserve">ATSEM et agents d’entretien des écoles (110), animateurs périscolaires et extrascolaires (90).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Forces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Faiblesses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• Agents plus jeunes (DECS : 43 ans de moyenne)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Recrutements supérieurs aux départs (9 % contre 8 %)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Métiers de proximité, au contact direct des familles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ATSEM : métier cœur, stable et identifié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• Forte précarité : CDD, temps partiels, saisonniers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Turnover le plus élevé de la ville (8 % par an)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Horaires fractionnés, pénibilité (bruit, postures)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Qualifications hétérogènes chez les animateurs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Opportunités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Menaces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• Professionnaliser les parcours : BAFA, BPJEPS, CAP AEPE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Titularisation progressive des animateurs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Passerelles animateur → ATSEM, animateur → directeur d’accueil de loisirs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Regrouper les temps de travail pour créer des postes à temps plein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• Pénurie d’animateurs qualifiés, concurrence des autres communes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Coût permanent du recrutement et de la formation des nouveaux arrivants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Baisse de la qualité d’accueil des enfants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Usure professionnelle et inaptitudes chez les ATSEM</w:t>
            </w:r>
          </w:p>
        </w:tc>
      </w:tr>
    </w:tbl>
    <w:p>
      <w:pPr>
        <w:pStyle w:val="Heading2"/>
        <w:spacing w:after="80" w:before="160"/>
      </w:pPr>
      <w:r>
        <w:t xml:space="preserve">4.3 Famille Culture / Sport (DECS – 120 agents)</w:t>
      </w:r>
    </w:p>
    <w:p>
      <w:pPr>
        <w:spacing w:after="100" w:line="264"/>
        <w:jc w:val="both"/>
      </w:pPr>
      <w:r>
        <w:rPr>
          <w:i/>
          <w:iCs/>
          <w:sz w:val="19"/>
          <w:szCs w:val="19"/>
        </w:rPr>
        <w:t xml:space="preserve">Bibliothécaires / médiathécaires (35), médiateurs culturels / événementiel (25), éducateurs sportifs et maîtres-nageurs (30), gardiens d’équipements sportifs (20), encadrants et responsables de service (10).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Forces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Faiblesses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• Métiers attractifs et porteurs de sens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Équipements variés (médiathèque, musées, piscines, gymnases)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Rôle visible dans l’attractivité de la ville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Mobilité interne correcte à la DECS (8 % en 3 ans)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• Horaires décalés : soirs et week-ends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Compétences numériques insuffisantes chez les bibliothécaires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Faible vivier de managers (10 encadrants pour 320 agents à la DECS)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Recours aux contrats temporaires pour l’événementiel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Opportunités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Menaces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• Culture numérique, sport-santé, médiation : nouveaux services aux usagers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Évolution des bibliothécaires vers la médiation numérique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Formation au management et à la gestion de projet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Partenariats avec les associations et l’intercommunalité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• Difficultés de recrutement des maîtres-nageurs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Métiers de bibliothécaire dépassés si pas de formation numérique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Contraintes budgétaires sur la culture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Fermetures ou réductions d’horaires faute de personnel</w:t>
            </w:r>
          </w:p>
        </w:tc>
      </w:tr>
    </w:tbl>
    <w:p>
      <w:pPr>
        <w:pStyle w:val="Heading2"/>
        <w:spacing w:after="80" w:before="160"/>
      </w:pPr>
      <w:r>
        <w:t xml:space="preserve">4.4 Famille Ressources / Administration (DR – 250 agents)</w:t>
      </w:r>
    </w:p>
    <w:p>
      <w:pPr>
        <w:spacing w:after="100" w:line="264"/>
        <w:jc w:val="both"/>
      </w:pPr>
      <w:r>
        <w:rPr>
          <w:i/>
          <w:iCs/>
          <w:sz w:val="19"/>
          <w:szCs w:val="19"/>
        </w:rPr>
        <w:t xml:space="preserve">Gestionnaires / assistants RH (60), gestionnaires budgétaires / comptables (70), juristes (20), informaticiens (40), assistants administratifs (40), chefs de projet SI / modernisation (20).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Forces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Faiblesses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• Expertise pointue (paie, carrières, marchés publics, finances)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Turnover faible (4 % par an) et recrutements supérieurs aux départs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20 chefs de projet déjà présents pour porter la modernisation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Fonctions support essentielles au fonctionnement de toute la ville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• Bloc d’agents de 45–55 ans, peu de jeunes cadres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Savoirs concentrés sur quelques agents clés, peu formalisés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Mobilité interne la plus faible (6 % en 3 ans)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Charge de travail croissante pour les RH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Opportunités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Menaces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• Déploiement du SIRH dans 2 ans : automatiser et fiabiliser les données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Dématérialisation : faire évoluer les assistants administratifs vers la gestion RH ou budgétaire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Formation à la gestion de projet et à la conduite du changement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Documentation des procédures et binômes de transmission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• 25 % des gestionnaires RH partent en retraite en 5 ans, 8 départs vers d’autres employeurs en 3 ans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Concurrence du privé sur les informaticiens et juristes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Erreurs de paie et retards si perte des savoirs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Cybersécurité et projets numériques fragilisés faute d’informaticiens</w:t>
            </w:r>
          </w:p>
        </w:tc>
      </w:tr>
    </w:tbl>
    <w:p>
      <w:pPr>
        <w:pStyle w:val="Heading1"/>
        <w:spacing w:after="120" w:before="240"/>
      </w:pPr>
      <w:r>
        <w:t xml:space="preserve">5. Synthèse du diagnostic : SWOT global de la ville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Forces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Faiblesses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• DECS jeune (43 ans) : un vivier pour l’avenir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80 % d’agents titulaires / CDI : une base stable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Turnover global modéré (6 %) et départs compensés par les recrutements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Agents fidèles dans les métiers techniques (2 % de départs hors retraite chez les conducteurs PL)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Savoir-faire expérimenté à la DST et à la DR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Budget formation de 350 000 €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• Vieillissement : 28 % d’agents de 55 ans et plus, DST à 51 ans de moyenne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DST en solde négatif (– 4 agents par an)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20 % de contractuels, précarité à la DECS (animation)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Mobilité interne faible (7 % en 3 ans)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Formation centrée sur le réglementaire (55 %) ; 56 % d’agents non formés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9 % de postes vacants dans les métiers critiques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Peu de jeunes cadres à la DR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Opportunités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Menaces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• Les départs en retraite permettent de redéfinir les postes vers la transition énergétique et le numérique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Déploiement du SIRH dans 2 ans : meilleur pilotage des données RH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Réorienter une partie des 55 % de formation réglementaire vers les compétences d’avenir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Passerelles internes : ouvriers → conducteurs PL, agents administratifs → gestionnaires RH, animateurs → titularisation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Tutorat seniors / juniors, apprentissage, partenariats (CNFPT, lycées professionnels)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Projet de mandat qui donne un cap (écologie, numérique, attractivité)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• 60 départs en retraite en 5 ans sur les 3 métiers critiques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Pénurie de candidats (3 par poste pour les conducteurs PL)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Concurrence du secteur privé (informatique, CVC, RH)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Perte définitive de savoirs non formalisés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Ruptures de service visibles par les usagers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Hausse des coûts de sous-traitance et d’intérim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Usure professionnelle et démotivation des agents « bloqués »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 xml:space="preserve">Tableau 7 – Matrice SWOT globale de la ville de Mont-Rivière</w:t>
      </w:r>
    </w:p>
    <w:p>
      <w:pPr>
        <w:spacing w:after="100" w:line="264"/>
        <w:jc w:val="both"/>
      </w:pPr>
      <w:r>
        <w:rPr>
          <w:b/>
          <w:bCs/>
        </w:rPr>
        <w:t xml:space="preserve">Conclusion.</w:t>
      </w:r>
      <w:r>
        <w:t xml:space="preserve"> Mont-Rivière n’a pas un problème global d’effectifs – ses départs sont compensés – mais un </w:t>
      </w:r>
      <w:r>
        <w:rPr>
          <w:b/>
          <w:bCs/>
        </w:rPr>
        <w:t xml:space="preserve">problème ciblé de renouvellement des compétences</w:t>
      </w:r>
      <w:r>
        <w:t xml:space="preserve"> : trois métiers critiques vont perdre plus d’un tiers de leurs agents en 5 ans, la DST ne remplace plus tous ses départs et la formation ne prépare pas assez aux métiers de demain. Quatre priorités en découlent pour les scénarios et le plan d’actions : </w:t>
      </w:r>
      <w:r>
        <w:rPr>
          <w:b/>
          <w:bCs/>
        </w:rPr>
        <w:t xml:space="preserve">(1)</w:t>
      </w:r>
      <w:r>
        <w:t xml:space="preserve"> sécuriser la transmission des savoirs sur les métiers critiques, </w:t>
      </w:r>
      <w:r>
        <w:rPr>
          <w:b/>
          <w:bCs/>
        </w:rPr>
        <w:t xml:space="preserve">(2)</w:t>
      </w:r>
      <w:r>
        <w:t xml:space="preserve"> réorienter la formation vers les compétences d’avenir, </w:t>
      </w:r>
      <w:r>
        <w:rPr>
          <w:b/>
          <w:bCs/>
        </w:rPr>
        <w:t xml:space="preserve">(3)</w:t>
      </w:r>
      <w:r>
        <w:t xml:space="preserve"> développer la mobilité interne et les passerelles, </w:t>
      </w:r>
      <w:r>
        <w:rPr>
          <w:b/>
          <w:bCs/>
        </w:rPr>
        <w:t xml:space="preserve">(4)</w:t>
      </w:r>
      <w:r>
        <w:t xml:space="preserve"> réduire la précarité à la DECS et s’appuyer sur le SIRH pour piloter la démarche.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Cellule GEPP – Diagnostic emplois–compétences – Ville de Mont-Rivière –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2026-09-24T09:33:10.810Z</dcterms:created>
  <dcterms:modified xsi:type="dcterms:W3CDTF">2026-09-24T09:33:10.810Z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