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32"/>
          <w:szCs w:val="32"/>
        </w:rPr>
        <w:t xml:space="preserve">Bilan de relecture</w:t>
      </w:r>
    </w:p>
    <w:p>
      <w:pPr>
        <w:spacing w:after="40" w:before="0" w:line="276" w:lineRule="auto"/>
        <w:jc w:val="center"/>
      </w:pPr>
      <w:r>
        <w:rPr>
          <w:b/>
          <w:bCs/>
        </w:rPr>
        <w:t xml:space="preserve">Dossier GEPP – Ville de Mont-Rivière – Groupe 2</w:t>
      </w:r>
    </w:p>
    <w:p>
      <w:pPr>
        <w:spacing w:after="240" w:before="0" w:line="276" w:lineRule="auto"/>
        <w:jc w:val="center"/>
      </w:pPr>
      <w:r>
        <w:rPr>
          <w:color w:val="555555"/>
        </w:rPr>
        <w:t xml:space="preserve">B. Sulayman, A. Khalil, E. Alaa, B. Mohammed – Master 1 AES – relecture du 31 octobre 2026</w:t>
      </w:r>
    </w:p>
    <w:p>
      <w:pPr>
        <w:pStyle w:val="Heading1"/>
        <w:keepNext/>
        <w:spacing w:after="140" w:before="320"/>
      </w:pPr>
      <w:r>
        <w:rPr>
          <w:b/>
          <w:bCs/>
          <w:color w:val="1F3864"/>
          <w:sz w:val="26"/>
          <w:szCs w:val="26"/>
        </w:rPr>
        <w:t xml:space="preserve">Comment la relecture a été faite</w:t>
      </w:r>
    </w:p>
    <w:p>
      <w:pPr>
        <w:pStyle w:val="ListParagraph"/>
        <w:numPr>
          <w:ilvl w:val="0"/>
          <w:numId w:val="2"/>
        </w:numPr>
        <w:spacing w:after="60" w:line="264" w:lineRule="auto"/>
      </w:pPr>
      <w:r>
        <w:rPr>
          <w:b/>
          <w:bCs/>
        </w:rPr>
        <w:t xml:space="preserve">Dossier relu : </w:t>
      </w:r>
      <w:r>
        <w:t xml:space="preserve">votre PDF du 31 octobre (19 pages). Il est identique, mot pour mot, à la dernière version du dossier.</w:t>
      </w:r>
    </w:p>
    <w:p>
      <w:pPr>
        <w:pStyle w:val="ListParagraph"/>
        <w:numPr>
          <w:ilvl w:val="0"/>
          <w:numId w:val="2"/>
        </w:numPr>
        <w:spacing w:after="60" w:line="264" w:lineRule="auto"/>
      </w:pPr>
      <w:r>
        <w:rPr>
          <w:b/>
          <w:bCs/>
        </w:rPr>
        <w:t xml:space="preserve">Méthode : </w:t>
      </w:r>
      <w:r>
        <w:t xml:space="preserve">8 relectures indépendantes. 4 portaient sur les fautes, une par séance. Les 4 autres portaient sur le fond : chiffres, consignes, cohérence et scénarios, ressemblance avec le groupe 1. Ensuite, 2 contrôles finaux : chaque modification relue une par une, puis une relecture complète de la nouvelle version.</w:t>
      </w:r>
    </w:p>
    <w:p>
      <w:pPr>
        <w:pStyle w:val="ListParagraph"/>
        <w:numPr>
          <w:ilvl w:val="0"/>
          <w:numId w:val="2"/>
        </w:numPr>
        <w:spacing w:after="60" w:line="264" w:lineRule="auto"/>
      </w:pPr>
      <w:r>
        <w:rPr>
          <w:b/>
          <w:bCs/>
        </w:rPr>
        <w:t xml:space="preserve">Vos règles ont été respectées : </w:t>
      </w:r>
      <w:r>
        <w:t xml:space="preserve">aucun chiffre, aucune date ni aucune estimation n'a été modifié, et aucune donnée n'a été supprimée. Un contrôle automatique le confirme : les 295 nombres du dossier sont les mêmes avant et après la relecture. Les titres, les tableaux et l'organisation en 5 séances sont conservés, et rien n'a été repris du groupe 1. Tout ce qui touche au fond (chiffres, choix, contenu) est seulement signalé dans ce bilan.</w:t>
      </w:r>
    </w:p>
    <w:p>
      <w:pPr>
        <w:pStyle w:val="ListParagraph"/>
        <w:numPr>
          <w:ilvl w:val="0"/>
          <w:numId w:val="2"/>
        </w:numPr>
        <w:spacing w:after="60" w:line="264" w:lineRule="auto"/>
      </w:pPr>
      <w:r>
        <w:rPr>
          <w:b/>
          <w:bCs/>
        </w:rPr>
        <w:t xml:space="preserve">Consignes utilisées : </w:t>
      </w:r>
      <w:r>
        <w:t xml:space="preserve">dossier contexte (5 pages, en photo), données chiffrées (page 1 en photo, pages 2 à 4 en transcription), fiches des séances 4 et 5 (en photo). Les fiches des séances 2 et 3 n'ont été vérifiées que sur la transcription faite au début : les photos d'origine ne sont plus disponibles. Il n'existe pas de fiche pour la séance 1 : elle a été comparée au livrable n°1 du dossier contexte (« synthèse du contexte et des enjeux GEPP »).</w:t>
      </w:r>
    </w:p>
    <w:p>
      <w:pPr>
        <w:pStyle w:val="ListParagraph"/>
        <w:numPr>
          <w:ilvl w:val="0"/>
          <w:numId w:val="2"/>
        </w:numPr>
        <w:spacing w:after="60" w:line="264" w:lineRule="auto"/>
      </w:pPr>
      <w:r>
        <w:rPr>
          <w:b/>
          <w:bCs/>
        </w:rPr>
        <w:t xml:space="preserve">Mise en page : </w:t>
      </w:r>
      <w:r>
        <w:t xml:space="preserve">le dossier passe de 19 à 18 pages, parce que deux sauts de page laissaient des demi-pages vides en séance 3. Les numéros de page sont ajoutés. Dans Word, les titres « Séance 1 » à « Séance 5 » et « Conclusion » sont reconnus comme titres (volet de navigation). Plus aucun mot n'est coupé en deux dans les tableaux.</w:t>
      </w:r>
    </w:p>
    <w:p>
      <w:pPr>
        <w:pStyle w:val="Heading1"/>
        <w:keepNext/>
        <w:spacing w:after="140" w:before="320"/>
      </w:pPr>
      <w:r>
        <w:rPr>
          <w:b/>
          <w:bCs/>
          <w:color w:val="1F3864"/>
          <w:sz w:val="26"/>
          <w:szCs w:val="26"/>
        </w:rPr>
        <w:t xml:space="preserve">1. Principales fautes corrigées</w:t>
      </w:r>
    </w:p>
    <w:p>
      <w:pPr>
        <w:spacing w:after="120" w:before="0" w:line="276" w:lineRule="auto"/>
        <w:jc w:val="left"/>
      </w:pPr>
      <w:r>
        <w:t xml:space="preserve">Environ 150 corrections dans le texte, soit 208 modifications mot à mot (liste complète en annexe). Voici les plus importantes, par type.</w:t>
      </w:r>
    </w:p>
    <w:p>
      <w:pPr>
        <w:pStyle w:val="Heading2"/>
        <w:keepNext/>
        <w:spacing w:after="80" w:before="200"/>
      </w:pPr>
      <w:r>
        <w:rPr>
          <w:b/>
          <w:bCs/>
          <w:sz w:val="23"/>
          <w:szCs w:val="23"/>
        </w:rPr>
        <w:t xml:space="preserve">Orthographe, accents et fautes de frappe</w:t>
      </w:r>
    </w:p>
    <w:p>
      <w:pPr>
        <w:pStyle w:val="ListParagraph"/>
        <w:numPr>
          <w:ilvl w:val="0"/>
          <w:numId w:val="2"/>
        </w:numPr>
        <w:spacing w:after="60" w:line="264" w:lineRule="auto"/>
      </w:pPr>
      <w:r>
        <w:t xml:space="preserve">age → âge ; batiment → bâtiment ; énergetique → énergétique ; traveaux → travaux ; ameliorer → améliorer ; attrictivité → attractivité ; educateur → éducateurs ; coeur → cœur ; main d’oeuvre → main-d’œuvre</w:t>
      </w:r>
    </w:p>
    <w:p>
      <w:pPr>
        <w:pStyle w:val="ListParagraph"/>
        <w:numPr>
          <w:ilvl w:val="0"/>
          <w:numId w:val="2"/>
        </w:numPr>
        <w:spacing w:after="60" w:line="264" w:lineRule="auto"/>
      </w:pPr>
      <w:r>
        <w:t xml:space="preserve">referentiel metier → Référentiel métier ; carte mental → carte mentale ; l’arriver de → l’arrivée de</w:t>
      </w:r>
    </w:p>
    <w:p>
      <w:pPr>
        <w:pStyle w:val="ListParagraph"/>
        <w:numPr>
          <w:ilvl w:val="0"/>
          <w:numId w:val="2"/>
        </w:numPr>
        <w:spacing w:after="60" w:line="264" w:lineRule="auto"/>
      </w:pPr>
      <w:r>
        <w:t xml:space="preserve">« llB.Sulayman » → « B. Sulayman » (ligne des noms de la séance 3) ; « 15% contractual » → « 15 % contractuels » ; « 16%contractuel » → « 16 % contractuels »</w:t>
      </w:r>
    </w:p>
    <w:p>
      <w:pPr>
        <w:pStyle w:val="Heading2"/>
        <w:keepNext/>
        <w:spacing w:after="80" w:before="200"/>
      </w:pPr>
      <w:r>
        <w:rPr>
          <w:b/>
          <w:bCs/>
          <w:sz w:val="23"/>
          <w:szCs w:val="23"/>
        </w:rPr>
        <w:t xml:space="preserve">Accords, grammaire et conjugaison</w:t>
      </w:r>
    </w:p>
    <w:p>
      <w:pPr>
        <w:pStyle w:val="ListParagraph"/>
        <w:numPr>
          <w:ilvl w:val="0"/>
          <w:numId w:val="2"/>
        </w:numPr>
        <w:spacing w:after="60" w:line="264" w:lineRule="auto"/>
      </w:pPr>
      <w:r>
        <w:t xml:space="preserve">nouvelles recrue → nouvelles recrues ; projets porté → projets portés ; vie local → vie locale ; agents espaces vert → agents espaces verts</w:t>
      </w:r>
    </w:p>
    <w:p>
      <w:pPr>
        <w:pStyle w:val="ListParagraph"/>
        <w:numPr>
          <w:ilvl w:val="0"/>
          <w:numId w:val="2"/>
        </w:numPr>
        <w:spacing w:after="60" w:line="264" w:lineRule="auto"/>
      </w:pPr>
      <w:r>
        <w:t xml:space="preserve">il y a 1 ans → il y a 1 an ; d’une plan D’action → d’un plan d’action ; bonne choses en liens → bonne chose en lien</w:t>
      </w:r>
    </w:p>
    <w:p>
      <w:pPr>
        <w:pStyle w:val="ListParagraph"/>
        <w:numPr>
          <w:ilvl w:val="0"/>
          <w:numId w:val="2"/>
        </w:numPr>
        <w:spacing w:after="60" w:line="264" w:lineRule="auto"/>
      </w:pPr>
      <w:r>
        <w:t xml:space="preserve">« l’IA qui vont impacter » → « qui va impacter » ; « opérationnel à maîtriser » → « opérationnel à maîtrisé » ; « Evolution aux travails » → « Évolution du travail »</w:t>
      </w:r>
    </w:p>
    <w:p>
      <w:pPr>
        <w:pStyle w:val="Heading2"/>
        <w:keepNext/>
        <w:spacing w:after="80" w:before="200"/>
      </w:pPr>
      <w:r>
        <w:rPr>
          <w:b/>
          <w:bCs/>
          <w:sz w:val="23"/>
          <w:szCs w:val="23"/>
        </w:rPr>
        <w:t xml:space="preserve">Ponctuation, majuscules et sigles</w:t>
      </w:r>
    </w:p>
    <w:p>
      <w:pPr>
        <w:pStyle w:val="ListParagraph"/>
        <w:numPr>
          <w:ilvl w:val="0"/>
          <w:numId w:val="2"/>
        </w:numPr>
        <w:spacing w:after="60" w:line="264" w:lineRule="auto"/>
      </w:pPr>
      <w:r>
        <w:t xml:space="preserve">Espaces mal placées autour des parenthèses (« ( critiques) », « médiateurs( ») et devant % (« 15% » → « 15 % »)</w:t>
      </w:r>
    </w:p>
    <w:p>
      <w:pPr>
        <w:pStyle w:val="ListParagraph"/>
        <w:numPr>
          <w:ilvl w:val="0"/>
          <w:numId w:val="2"/>
        </w:numPr>
        <w:spacing w:after="60" w:line="264" w:lineRule="auto"/>
      </w:pPr>
      <w:r>
        <w:t xml:space="preserve">Majuscules harmonisées en début de tiret et de case ; apostrophes harmonisées dans tout le dossier (’)</w:t>
      </w:r>
    </w:p>
    <w:p>
      <w:pPr>
        <w:pStyle w:val="ListParagraph"/>
        <w:numPr>
          <w:ilvl w:val="0"/>
          <w:numId w:val="2"/>
        </w:numPr>
        <w:spacing w:after="60" w:line="264" w:lineRule="auto"/>
      </w:pPr>
      <w:r>
        <w:t xml:space="preserve">Sigles en majuscules : dst, decs, dr → DST, DECS, DR ; pme → PME ; rh → RH</w:t>
      </w:r>
    </w:p>
    <w:p>
      <w:pPr>
        <w:pStyle w:val="Heading2"/>
        <w:keepNext/>
        <w:spacing w:after="80" w:before="200"/>
      </w:pPr>
      <w:r>
        <w:rPr>
          <w:b/>
          <w:bCs/>
          <w:sz w:val="23"/>
          <w:szCs w:val="23"/>
        </w:rPr>
        <w:t xml:space="preserve">Vocabulaire professionnel (fonction publique et GEPP)</w:t>
      </w:r>
    </w:p>
    <w:p>
      <w:pPr>
        <w:pStyle w:val="ListParagraph"/>
        <w:numPr>
          <w:ilvl w:val="0"/>
          <w:numId w:val="2"/>
        </w:numPr>
        <w:spacing w:after="60" w:line="264" w:lineRule="auto"/>
      </w:pPr>
      <w:r>
        <w:t xml:space="preserve">« salariés » → « agents » : dans une collectivité, on parle d’agents.</w:t>
      </w:r>
    </w:p>
    <w:p>
      <w:pPr>
        <w:pStyle w:val="ListParagraph"/>
        <w:numPr>
          <w:ilvl w:val="0"/>
          <w:numId w:val="2"/>
        </w:numPr>
        <w:spacing w:after="60" w:line="264" w:lineRule="auto"/>
      </w:pPr>
      <w:r>
        <w:t xml:space="preserve">« corps de métier » → « métiers » (3 fois) : le « corps » est une notion précise de la fonction publique d’État.</w:t>
      </w:r>
    </w:p>
    <w:p>
      <w:pPr>
        <w:pStyle w:val="ListParagraph"/>
        <w:numPr>
          <w:ilvl w:val="0"/>
          <w:numId w:val="2"/>
        </w:numPr>
        <w:spacing w:after="60" w:line="264" w:lineRule="auto"/>
      </w:pPr>
      <w:r>
        <w:t xml:space="preserve">« Enjeux GEPP » : le sigle est développé une fois (gestion des emplois et des parcours professionnels).</w:t>
      </w:r>
    </w:p>
    <w:p>
      <w:pPr>
        <w:pStyle w:val="ListParagraph"/>
        <w:numPr>
          <w:ilvl w:val="0"/>
          <w:numId w:val="2"/>
        </w:numPr>
        <w:spacing w:after="60" w:line="264" w:lineRule="auto"/>
      </w:pPr>
      <w:r>
        <w:t xml:space="preserve">« Tech de maintenance » → « techniciens de maintenance » ; « assistants administration » → « assistants administratifs » ; « PL » et « RH » employés seuls pour désigner des agents → « conducteurs PL » et « gestionnaires RH ».</w:t>
      </w:r>
    </w:p>
    <w:p>
      <w:pPr>
        <w:pStyle w:val="Heading2"/>
        <w:keepNext/>
        <w:spacing w:after="80" w:before="200"/>
      </w:pPr>
      <w:r>
        <w:rPr>
          <w:b/>
          <w:bCs/>
          <w:sz w:val="23"/>
          <w:szCs w:val="23"/>
        </w:rPr>
        <w:t xml:space="preserve">Phrases maladroites (sens conservé)</w:t>
      </w:r>
    </w:p>
    <w:p>
      <w:pPr>
        <w:pStyle w:val="ListParagraph"/>
        <w:numPr>
          <w:ilvl w:val="0"/>
          <w:numId w:val="2"/>
        </w:numPr>
        <w:spacing w:after="60" w:line="264" w:lineRule="auto"/>
      </w:pPr>
      <w:r>
        <w:t xml:space="preserve">« implique le fait de devoir former les salariés » → « implique de former les agents ».</w:t>
      </w:r>
    </w:p>
    <w:p>
      <w:pPr>
        <w:pStyle w:val="ListParagraph"/>
        <w:numPr>
          <w:ilvl w:val="0"/>
          <w:numId w:val="2"/>
        </w:numPr>
        <w:spacing w:after="60" w:line="264" w:lineRule="auto"/>
      </w:pPr>
      <w:r>
        <w:t xml:space="preserve">« Évolution de l’IA qui vont impacter des métiers comme dans le secteur de la comptabilité » → « Évolution de l’IA, qui va impacter certains métiers, par exemple dans la comptabilité ».</w:t>
      </w:r>
    </w:p>
    <w:p>
      <w:pPr>
        <w:pStyle w:val="ListParagraph"/>
        <w:numPr>
          <w:ilvl w:val="0"/>
          <w:numId w:val="2"/>
        </w:numPr>
        <w:spacing w:after="60" w:line="264" w:lineRule="auto"/>
      </w:pPr>
      <w:r>
        <w:t xml:space="preserve">Séance 3 : « Les principales difficultés sont… les difficultés de recrutement » → « Les principaux problèmes sont… », pour éviter la répétition. « indispensables aux services aux habitants » → « indispensables pour les services aux habitants ».</w:t>
      </w:r>
    </w:p>
    <w:p>
      <w:pPr>
        <w:pStyle w:val="ListParagraph"/>
        <w:numPr>
          <w:ilvl w:val="0"/>
          <w:numId w:val="2"/>
        </w:numPr>
        <w:spacing w:after="60" w:line="264" w:lineRule="auto"/>
      </w:pPr>
      <w:r>
        <w:t xml:space="preserve">Séance 4 : « les départs à la DST sont urgents » → « les départs à la DST sont le problème le plus urgent ».</w:t>
      </w:r>
    </w:p>
    <w:p>
      <w:pPr>
        <w:pStyle w:val="Heading2"/>
        <w:keepNext/>
        <w:spacing w:after="80" w:before="200"/>
      </w:pPr>
      <w:r>
        <w:rPr>
          <w:b/>
          <w:bCs/>
          <w:sz w:val="23"/>
          <w:szCs w:val="23"/>
        </w:rPr>
        <w:t xml:space="preserve">À valider par vous : corrections qui précisent ou nuancent le sens</w:t>
      </w:r>
    </w:p>
    <w:p>
      <w:pPr>
        <w:spacing w:after="120" w:before="0" w:line="276" w:lineRule="auto"/>
        <w:jc w:val="left"/>
      </w:pPr>
      <w:r>
        <w:t xml:space="preserve">Aucun chiffre n’a changé, mais ces corrections vont un peu au-delà de la langue. Vérifiez qu’elles vous conviennent :</w:t>
      </w:r>
    </w:p>
    <w:p>
      <w:pPr>
        <w:pStyle w:val="ListParagraph"/>
        <w:numPr>
          <w:ilvl w:val="0"/>
          <w:numId w:val="2"/>
        </w:numPr>
        <w:spacing w:after="60" w:line="264" w:lineRule="auto"/>
      </w:pPr>
      <w:r>
        <w:t xml:space="preserve">p. 1 : votre parenthèse « ( Risque… » s’ouvrait sur un tiret et se fermait sur le suivant. Elle est regroupée dans un seul tiret, avec vos mots : « risque de difficultés lors de la transition pour la DST : moyenne d’âge assez élevée / population vieillissante = moins habituée aux tâches numériques ».</w:t>
      </w:r>
    </w:p>
    <w:p>
      <w:pPr>
        <w:pStyle w:val="ListParagraph"/>
        <w:numPr>
          <w:ilvl w:val="0"/>
          <w:numId w:val="2"/>
        </w:numPr>
        <w:spacing w:after="60" w:line="264" w:lineRule="auto"/>
      </w:pPr>
      <w:r>
        <w:t xml:space="preserve">p. 1 : « Manque de contrat CDI » → « Manque de postes stables : beaucoup de contrats précaires (CDD) ». En fonction publique, la norme est le statut de titulaire, pas le CDI.</w:t>
      </w:r>
    </w:p>
    <w:p>
      <w:pPr>
        <w:pStyle w:val="ListParagraph"/>
        <w:numPr>
          <w:ilvl w:val="0"/>
          <w:numId w:val="2"/>
        </w:numPr>
        <w:spacing w:after="60" w:line="264" w:lineRule="auto"/>
      </w:pPr>
      <w:r>
        <w:t xml:space="preserve">p. 6 : « L’organisation fait face à un vieillissement… 52 ans » → « le métier fait face… ». Les chiffres sont ceux des seuls techniciens de maintenance, pas de toute la ville.</w:t>
      </w:r>
    </w:p>
    <w:p>
      <w:pPr>
        <w:pStyle w:val="ListParagraph"/>
        <w:numPr>
          <w:ilvl w:val="0"/>
          <w:numId w:val="2"/>
        </w:numPr>
        <w:spacing w:after="60" w:line="264" w:lineRule="auto"/>
      </w:pPr>
      <w:r>
        <w:t xml:space="preserve">p. 12 : « c’est la direction qui perd le plus d’agents (-4 par an) » → « la seule direction qui perd des agents ». En nombre de départs, c’est la DECS qui perd le plus, mais elle recrute davantage. Votre séance 3 le dit d’ailleurs : « seule direction en solde négatif ».</w:t>
      </w:r>
    </w:p>
    <w:p>
      <w:pPr>
        <w:pStyle w:val="ListParagraph"/>
        <w:numPr>
          <w:ilvl w:val="0"/>
          <w:numId w:val="2"/>
        </w:numPr>
        <w:spacing w:after="60" w:line="264" w:lineRule="auto"/>
      </w:pPr>
      <w:r>
        <w:t xml:space="preserve">p. 12 : « 3 candidatures par poste » → « par poste de conducteur PL ». Ce chiffre ne concerne que les conducteurs PL, comme vous l’écrivez en séance 3.</w:t>
      </w:r>
    </w:p>
    <w:p>
      <w:pPr>
        <w:pStyle w:val="ListParagraph"/>
        <w:numPr>
          <w:ilvl w:val="0"/>
          <w:numId w:val="2"/>
        </w:numPr>
        <w:spacing w:after="60" w:line="264" w:lineRule="auto"/>
      </w:pPr>
      <w:r>
        <w:t xml:space="preserve">p. 15, plan d’actions : « plus de métiers en tension » → « plus pour les métiers en tension », car la première formulation se lisait « davantage de métiers en tension ». « Direction » → « Direction générale » pour le public de « Suivre le tableau de bord », car « direction » désigne ailleurs la DST, la DECS ou la DR.</w:t>
      </w:r>
    </w:p>
    <w:p>
      <w:pPr>
        <w:pStyle w:val="ListParagraph"/>
        <w:numPr>
          <w:ilvl w:val="0"/>
          <w:numId w:val="2"/>
        </w:numPr>
        <w:spacing w:after="60" w:line="264" w:lineRule="auto"/>
      </w:pPr>
      <w:r>
        <w:t xml:space="preserve">Parties ajoutées par l’assistant, réalignées sur votre texte :</w:t>
      </w:r>
    </w:p>
    <w:p>
      <w:pPr>
        <w:pStyle w:val="ListParagraph"/>
        <w:numPr>
          <w:ilvl w:val="1"/>
          <w:numId w:val="2"/>
        </w:numPr>
        <w:spacing w:after="60" w:line="264" w:lineRule="auto"/>
      </w:pPr>
      <w:r>
        <w:t xml:space="preserve">« (gestion écologique) » retiré du tableau des niveaux (p. 6) ;</w:t>
      </w:r>
    </w:p>
    <w:p>
      <w:pPr>
        <w:pStyle w:val="ListParagraph"/>
        <w:numPr>
          <w:ilvl w:val="1"/>
          <w:numId w:val="2"/>
        </w:numPr>
        <w:spacing w:after="60" w:line="264" w:lineRule="auto"/>
      </w:pPr>
      <w:r>
        <w:t xml:space="preserve">« perte de savoir-faire » → « perte de compétences » (p. 11, vos mots) ;</w:t>
      </w:r>
    </w:p>
    <w:p>
      <w:pPr>
        <w:pStyle w:val="ListParagraph"/>
        <w:numPr>
          <w:ilvl w:val="1"/>
          <w:numId w:val="2"/>
        </w:numPr>
        <w:spacing w:after="60" w:line="264" w:lineRule="auto"/>
      </w:pPr>
      <w:r>
        <w:t xml:space="preserve">« tutorat » retiré de la liste des actions qui coûtent peu (p. 15 et 18), comme dans vos « Priorités » ;</w:t>
      </w:r>
    </w:p>
    <w:p>
      <w:pPr>
        <w:pStyle w:val="ListParagraph"/>
        <w:numPr>
          <w:ilvl w:val="1"/>
          <w:numId w:val="2"/>
        </w:numPr>
        <w:spacing w:after="60" w:line="264" w:lineRule="auto"/>
      </w:pPr>
      <w:r>
        <w:t xml:space="preserve">séance 5 et conclusion nuancées (« va dans le sens de », « quand c’est possible ») ;</w:t>
      </w:r>
    </w:p>
    <w:p>
      <w:pPr>
        <w:pStyle w:val="ListParagraph"/>
        <w:numPr>
          <w:ilvl w:val="1"/>
          <w:numId w:val="2"/>
        </w:numPr>
        <w:spacing w:after="60" w:line="264" w:lineRule="auto"/>
      </w:pPr>
      <w:r>
        <w:t xml:space="preserve">gestionnaires RH ajoutés aux métiers en tension cités dans la conclusion.</w:t>
      </w:r>
    </w:p>
    <w:p>
      <w:pPr>
        <w:pStyle w:val="Heading2"/>
        <w:keepNext/>
        <w:spacing w:after="80" w:before="200"/>
      </w:pPr>
      <w:r>
        <w:rPr>
          <w:b/>
          <w:bCs/>
          <w:sz w:val="23"/>
          <w:szCs w:val="23"/>
        </w:rPr>
        <w:t xml:space="preserve">Mise en forme</w:t>
      </w:r>
    </w:p>
    <w:p>
      <w:pPr>
        <w:pStyle w:val="ListParagraph"/>
        <w:numPr>
          <w:ilvl w:val="0"/>
          <w:numId w:val="2"/>
        </w:numPr>
        <w:spacing w:after="60" w:line="264" w:lineRule="auto"/>
      </w:pPr>
      <w:r>
        <w:t xml:space="preserve">Surlignages jaunes et gris retirés du tableau des directions (p. 7) : les en-têtes sont simplement en gras.</w:t>
      </w:r>
    </w:p>
    <w:p>
      <w:pPr>
        <w:pStyle w:val="ListParagraph"/>
        <w:numPr>
          <w:ilvl w:val="0"/>
          <w:numId w:val="2"/>
        </w:numPr>
        <w:spacing w:after="60" w:line="264" w:lineRule="auto"/>
      </w:pPr>
      <w:r>
        <w:t xml:space="preserve">Le paragraphe « Logique » du scénario A était en gris et plus gros que celui du scénario B : les deux sont maintenant présentés pareil.</w:t>
      </w:r>
    </w:p>
    <w:p>
      <w:pPr>
        <w:pStyle w:val="ListParagraph"/>
        <w:numPr>
          <w:ilvl w:val="0"/>
          <w:numId w:val="2"/>
        </w:numPr>
        <w:spacing w:after="60" w:line="264" w:lineRule="auto"/>
      </w:pPr>
      <w:r>
        <w:t xml:space="preserve">Les titres « 1. Scénarios… » et « 2. Plan d’actions… » ont le même style.</w:t>
      </w:r>
    </w:p>
    <w:p>
      <w:pPr>
        <w:pStyle w:val="ListParagraph"/>
        <w:numPr>
          <w:ilvl w:val="0"/>
          <w:numId w:val="2"/>
        </w:numPr>
        <w:spacing w:after="60" w:line="264" w:lineRule="auto"/>
      </w:pPr>
      <w:r>
        <w:t xml:space="preserve">Sous-titre « Compétences du technicien de maintenance » ajouté au-dessus de son tableau (p. 5). Sans titre, ce tableau semblait appartenir à l’ingénieur en énergie.</w:t>
      </w:r>
    </w:p>
    <w:p>
      <w:pPr>
        <w:pStyle w:val="ListParagraph"/>
        <w:numPr>
          <w:ilvl w:val="0"/>
          <w:numId w:val="2"/>
        </w:numPr>
        <w:spacing w:after="60" w:line="264" w:lineRule="auto"/>
      </w:pPr>
      <w:r>
        <w:t xml:space="preserve">Le tableau « Comparaison », le tableau des âges et la partie « Métiers critiques » ne sont plus coupés entre deux pages. Les colonnes du plan d’actions ont été recalculées : plus de « technique-s » ni de « Numériqu-e ».</w:t>
      </w:r>
    </w:p>
    <w:p>
      <w:pPr>
        <w:pStyle w:val="Heading1"/>
        <w:keepNext/>
        <w:spacing w:after="140" w:before="320"/>
      </w:pPr>
      <w:r>
        <w:rPr>
          <w:b/>
          <w:bCs/>
          <w:color w:val="1F3864"/>
          <w:sz w:val="26"/>
          <w:szCs w:val="26"/>
        </w:rPr>
        <w:t xml:space="preserve">2. Incohérences repérées entre les séances</w:t>
      </w:r>
    </w:p>
    <w:p>
      <w:pPr>
        <w:spacing w:after="120" w:before="0" w:line="276" w:lineRule="auto"/>
        <w:jc w:val="left"/>
      </w:pPr>
      <w:r>
        <w:t xml:space="preserve">Elles sont classées de la plus visible à la moins visible. Aucune n’a été corrigée automatiquement : chacune touche à vos choix.</w:t>
      </w:r>
    </w:p>
    <w:p>
      <w:pPr>
        <w:pStyle w:val="ListParagraph"/>
        <w:numPr>
          <w:ilvl w:val="0"/>
          <w:numId w:val="2"/>
        </w:numPr>
        <w:spacing w:after="60" w:line="264" w:lineRule="auto"/>
      </w:pPr>
      <w:r>
        <w:rPr>
          <w:b/>
          <w:bCs/>
        </w:rPr>
        <w:t xml:space="preserve">Séance 2 et séance 3, métiers critiques : </w:t>
      </w:r>
      <w:r>
        <w:t xml:space="preserve">les étiquettes de la cartographie (p. 3) ne correspondent pas au diagnostic (p. 9-10). Les techniciens de maintenance, métier critique en séance 3, n’ont aucune étiquette en séance 2 (« Maintenance bâtiment »). À l’inverse, les ouvriers, les bibliothécaires, les médiateurs et les chefs de projet sont « critiques » en séance 2 mais absents des 5 métiers en tension et des 3 métiers critiques de la séance 3. Enfin, les animateurs et les bibliothécaires sont rangés dans deux familles, alors que la séance 3 compte Éducation/Animation = 200 agents (ATSEM + animateurs) et Culture/Sport = 120 agents.</w:t>
      </w:r>
    </w:p>
    <w:p>
      <w:pPr>
        <w:pStyle w:val="ListParagraph"/>
        <w:numPr>
          <w:ilvl w:val="0"/>
          <w:numId w:val="2"/>
        </w:numPr>
        <w:spacing w:after="60" w:line="264" w:lineRule="auto"/>
      </w:pPr>
      <w:r>
        <w:rPr>
          <w:b/>
          <w:bCs/>
        </w:rPr>
        <w:t xml:space="preserve">Séance 4 et séance 5, calendrier : </w:t>
      </w:r>
      <w:r>
        <w:t xml:space="preserve">dans le plan, l’action « Suivre le tableau de bord » est en « Année 3 » (p. 15). Pourtant, son objectif est d’« ajuster le plan chaque année », et la séance 5 comme la conclusion prévoient un suivi chaque année, avec des alertes dès la fin de l’année 1.</w:t>
      </w:r>
    </w:p>
    <w:p>
      <w:pPr>
        <w:pStyle w:val="ListParagraph"/>
        <w:numPr>
          <w:ilvl w:val="0"/>
          <w:numId w:val="2"/>
        </w:numPr>
        <w:spacing w:after="60" w:line="264" w:lineRule="auto"/>
      </w:pPr>
      <w:r>
        <w:rPr>
          <w:b/>
          <w:bCs/>
        </w:rPr>
        <w:t xml:space="preserve">Séance 3, âges (p. 10-11) : </w:t>
      </w:r>
      <w:r>
        <w:t xml:space="preserve">les pourcentages écrits (« DST &gt; 50 ans = 47,4 % », etc.) ne correspondent pas à votre tableau des tranches d’âge, placé juste en dessous. Détail dans la partie 3.</w:t>
      </w:r>
    </w:p>
    <w:p>
      <w:pPr>
        <w:pStyle w:val="ListParagraph"/>
        <w:numPr>
          <w:ilvl w:val="0"/>
          <w:numId w:val="2"/>
        </w:numPr>
        <w:spacing w:after="60" w:line="264" w:lineRule="auto"/>
      </w:pPr>
      <w:r>
        <w:rPr>
          <w:b/>
          <w:bCs/>
        </w:rPr>
        <w:t xml:space="preserve">Gestionnaires RH : </w:t>
      </w:r>
      <w:r>
        <w:t xml:space="preserve">c’est un métier critique (séance 3), en hausse dans le scénario B, avec 15 recrutements estimés. Pourtant, aucune action du plan ne les vise : le tutorat est réservé à la DST.</w:t>
      </w:r>
    </w:p>
    <w:p>
      <w:pPr>
        <w:pStyle w:val="ListParagraph"/>
        <w:numPr>
          <w:ilvl w:val="0"/>
          <w:numId w:val="2"/>
        </w:numPr>
        <w:spacing w:after="60" w:line="264" w:lineRule="auto"/>
      </w:pPr>
      <w:r>
        <w:rPr>
          <w:b/>
          <w:bCs/>
        </w:rPr>
        <w:t xml:space="preserve">Scénario A et plan d’actions : </w:t>
      </w:r>
      <w:r>
        <w:t xml:space="preserve">le scénario retenu repose sur les techniciens et sur les compétences CVC et rénovation énergétique. Or aucune action du plan ne les concerne : la seule formation prévue pour la DST est le permis PL. Il n’y a pas non plus d’action de recrutement ou d’attractivité pour la DST, alors que la séance 1 cite l’attractivité des conducteurs, des techniciens et des gestionnaires RH. La seule action d’attractivité du plan vise les informaticiens.</w:t>
      </w:r>
    </w:p>
    <w:p>
      <w:pPr>
        <w:pStyle w:val="ListParagraph"/>
        <w:numPr>
          <w:ilvl w:val="0"/>
          <w:numId w:val="2"/>
        </w:numPr>
        <w:spacing w:after="60" w:line="264" w:lineRule="auto"/>
      </w:pPr>
      <w:r>
        <w:rPr>
          <w:b/>
          <w:bCs/>
        </w:rPr>
        <w:t xml:space="preserve">Scénario B et plan d’actions : </w:t>
      </w:r>
      <w:r>
        <w:t xml:space="preserve">la partie « relation usagers » (accueil polyvalent, accompagnement des habitants) n’a aucune action.</w:t>
      </w:r>
    </w:p>
    <w:p>
      <w:pPr>
        <w:pStyle w:val="ListParagraph"/>
        <w:numPr>
          <w:ilvl w:val="0"/>
          <w:numId w:val="2"/>
        </w:numPr>
        <w:spacing w:after="60" w:line="264" w:lineRule="auto"/>
      </w:pPr>
      <w:r>
        <w:rPr>
          <w:b/>
          <w:bCs/>
        </w:rPr>
        <w:t xml:space="preserve">Séance 1 et suite du dossier : </w:t>
      </w:r>
      <w:r>
        <w:t xml:space="preserve">plusieurs points de la séance 1 ne sont plus repris ensuite :</w:t>
      </w:r>
    </w:p>
    <w:p>
      <w:pPr>
        <w:pStyle w:val="ListParagraph"/>
        <w:numPr>
          <w:ilvl w:val="1"/>
          <w:numId w:val="2"/>
        </w:numPr>
        <w:spacing w:after="60" w:line="264" w:lineRule="auto"/>
      </w:pPr>
      <w:r>
        <w:t xml:space="preserve">l’IA et la comptabilité ;</w:t>
      </w:r>
    </w:p>
    <w:p>
      <w:pPr>
        <w:pStyle w:val="ListParagraph"/>
        <w:numPr>
          <w:ilvl w:val="1"/>
          <w:numId w:val="2"/>
        </w:numPr>
        <w:spacing w:after="60" w:line="264" w:lineRule="auto"/>
      </w:pPr>
      <w:r>
        <w:t xml:space="preserve">« Renforcer la vie locale » ;</w:t>
      </w:r>
    </w:p>
    <w:p>
      <w:pPr>
        <w:pStyle w:val="ListParagraph"/>
        <w:numPr>
          <w:ilvl w:val="1"/>
          <w:numId w:val="2"/>
        </w:numPr>
        <w:spacing w:after="60" w:line="264" w:lineRule="auto"/>
      </w:pPr>
      <w:r>
        <w:t xml:space="preserve">la difficulté de la DST avec le numérique (dans le plan, la formation au numérique ne vise que les agents administratifs).</w:t>
      </w:r>
    </w:p>
    <w:p>
      <w:pPr>
        <w:pStyle w:val="ListParagraph"/>
        <w:numPr>
          <w:ilvl w:val="0"/>
          <w:numId w:val="2"/>
        </w:numPr>
        <w:spacing w:after="60" w:line="264" w:lineRule="auto"/>
      </w:pPr>
      <w:r>
        <w:rPr>
          <w:b/>
          <w:bCs/>
        </w:rPr>
        <w:t xml:space="preserve">Séance 2 et suite du dossier : </w:t>
      </w:r>
      <w:r>
        <w:t xml:space="preserve">l’agent des espaces verts, votre premier référentiel, n’est relié à rien ensuite : ni métier en tension, ni scénario, ni action. L’« ingénieur en énergie » de la séance 2 devient « chargé de mission énergie » en séance 4, sans lien explicite entre les deux.</w:t>
      </w:r>
    </w:p>
    <w:p>
      <w:pPr>
        <w:pStyle w:val="ListParagraph"/>
        <w:numPr>
          <w:ilvl w:val="0"/>
          <w:numId w:val="2"/>
        </w:numPr>
        <w:spacing w:after="60" w:line="264" w:lineRule="auto"/>
      </w:pPr>
      <w:r>
        <w:rPr>
          <w:b/>
          <w:bCs/>
        </w:rPr>
        <w:t xml:space="preserve">Plan d’actions et données : </w:t>
      </w:r>
      <w:r>
        <w:t xml:space="preserve">le SIRH est cité comme moyen en année 1, alors que, d’après les données, il ne sera déployé que dans 2 ans.</w:t>
      </w:r>
    </w:p>
    <w:p>
      <w:pPr>
        <w:pStyle w:val="ListParagraph"/>
        <w:numPr>
          <w:ilvl w:val="0"/>
          <w:numId w:val="2"/>
        </w:numPr>
        <w:spacing w:after="60" w:line="264" w:lineRule="auto"/>
      </w:pPr>
      <w:r>
        <w:rPr>
          <w:b/>
          <w:bCs/>
        </w:rPr>
        <w:t xml:space="preserve">Estimation des besoins (p. 14) : </w:t>
      </w:r>
      <w:r>
        <w:t xml:space="preserve">les départs à la retraite (20 conducteurs PL, 25 techniciens, 15 gestionnaires RH) sont à remplacer quel que soit le scénario. Les ranger sous « Scénario A » ou « Scénario B » peut laisser croire qu’avec le seul scénario A, on ne remplacerait pas les gestionnaires RH. Une phrase de votre part peut le préciser.</w:t>
      </w:r>
    </w:p>
    <w:p>
      <w:pPr>
        <w:pStyle w:val="ListParagraph"/>
        <w:numPr>
          <w:ilvl w:val="0"/>
          <w:numId w:val="2"/>
        </w:numPr>
        <w:spacing w:after="60" w:line="264" w:lineRule="auto"/>
      </w:pPr>
      <w:r>
        <w:rPr>
          <w:b/>
          <w:bCs/>
        </w:rPr>
        <w:t xml:space="preserve">Séance 5 : </w:t>
      </w:r>
      <w:r>
        <w:t xml:space="preserve">deux indicateurs posent problème.</w:t>
      </w:r>
    </w:p>
    <w:p>
      <w:pPr>
        <w:pStyle w:val="ListParagraph"/>
        <w:numPr>
          <w:ilvl w:val="1"/>
          <w:numId w:val="2"/>
        </w:numPr>
        <w:spacing w:after="60" w:line="264" w:lineRule="auto"/>
      </w:pPr>
      <w:r>
        <w:t xml:space="preserve">L’indicateur 1 est rangé sous « Scénario A (DST) », mais il couvre aussi les gestionnaires RH de la DR, et son objectif ne vise que les 45 départs de la DST.</w:t>
      </w:r>
    </w:p>
    <w:p>
      <w:pPr>
        <w:pStyle w:val="ListParagraph"/>
        <w:numPr>
          <w:ilvl w:val="1"/>
          <w:numId w:val="2"/>
        </w:numPr>
        <w:spacing w:after="60" w:line="264" w:lineRule="auto"/>
      </w:pPr>
      <w:r>
        <w:t xml:space="preserve">L’indicateur 2 (solde de la DST) vise 0 en année 3, alors qu’aucune action de recrutement n’est prévue pour la DST.</w:t>
      </w:r>
    </w:p>
    <w:p>
      <w:pPr>
        <w:pStyle w:val="ListParagraph"/>
        <w:numPr>
          <w:ilvl w:val="0"/>
          <w:numId w:val="2"/>
        </w:numPr>
        <w:spacing w:after="60" w:line="264" w:lineRule="auto"/>
      </w:pPr>
      <w:r>
        <w:rPr>
          <w:b/>
          <w:bCs/>
        </w:rPr>
        <w:t xml:space="preserve">Commentaire sur la DECS (p. 10) : </w:t>
      </w:r>
      <w:r>
        <w:t xml:space="preserve">le fort renouvellement y est présenté comme « une bonne chose ». Or le contexte et votre propre diagnostic le présentent comme un problème : animateurs en tension, à fidéliser.</w:t>
      </w:r>
    </w:p>
    <w:p>
      <w:pPr>
        <w:pStyle w:val="ListParagraph"/>
        <w:numPr>
          <w:ilvl w:val="0"/>
          <w:numId w:val="2"/>
        </w:numPr>
        <w:spacing w:after="60" w:line="264" w:lineRule="auto"/>
      </w:pPr>
      <w:r>
        <w:rPr>
          <w:b/>
          <w:bCs/>
        </w:rPr>
        <w:t xml:space="preserve">Choix du scénario (p. 13) : </w:t>
      </w:r>
      <w:r>
        <w:t xml:space="preserve">le scénario A est d’abord présenté comme « le plus risqué » à cause des départs à la DST, puis choisi pour cette même raison. L’argument qui manque est déjà dans votre texte : « ce scénario [B] ne règle pas le problème de la DST ».</w:t>
      </w:r>
    </w:p>
    <w:p>
      <w:pPr>
        <w:pStyle w:val="Heading1"/>
        <w:keepNext/>
        <w:spacing w:after="140" w:before="320"/>
      </w:pPr>
      <w:r>
        <w:rPr>
          <w:b/>
          <w:bCs/>
          <w:color w:val="1F3864"/>
          <w:sz w:val="26"/>
          <w:szCs w:val="26"/>
        </w:rPr>
        <w:t xml:space="preserve">3. Chiffres qui méritent une vérification (non modifiés)</w:t>
      </w:r>
    </w:p>
    <w:p>
      <w:pPr>
        <w:spacing w:after="120" w:before="0" w:line="276" w:lineRule="auto"/>
        <w:jc w:val="left"/>
      </w:pPr>
      <w:r>
        <w:t xml:space="preserve">Aucun de ces chiffres n’a été changé. Le tableau ci-dessous distingue les vraies erreurs des écarts qui s’expliquent par les documents de la professeure.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300"/>
        <w:gridCol w:w="3026"/>
        <w:gridCol w:w="3000"/>
      </w:tblGrid>
      <w:tr>
        <w:trPr>
          <w:cantSplit/>
          <w:tblHeader/>
        </w:trPr>
        <w:tc>
          <w:tcPr>
            <w:tcW w:type="dxa" w:w="700"/>
            <w:tcBorders>
              <w:top w:val="single" w:color="999999" w:sz="4"/>
              <w:left w:val="single" w:color="999999" w:sz="4"/>
              <w:bottom w:val="single" w:color="999999" w:sz="4"/>
              <w:right w:val="single" w:color="999999" w:sz="4"/>
            </w:tcBorders>
            <w:shd w:fill="E7ECF4" w:color="auto" w:val="clear"/>
            <w:tcMar>
              <w:top w:type="dxa" w:w="60"/>
              <w:left w:type="dxa" w:w="90"/>
              <w:bottom w:type="dxa" w:w="60"/>
              <w:right w:type="dxa" w:w="90"/>
            </w:tcMar>
          </w:tcPr>
          <w:p>
            <w:pPr>
              <w:spacing w:after="40"/>
            </w:pPr>
            <w:r>
              <w:rPr>
                <w:b/>
                <w:bCs/>
                <w:sz w:val="19"/>
                <w:szCs w:val="19"/>
              </w:rPr>
              <w:t xml:space="preserve">Page</w:t>
            </w:r>
          </w:p>
        </w:tc>
        <w:tc>
          <w:tcPr>
            <w:tcW w:type="dxa" w:w="2300"/>
            <w:tcBorders>
              <w:top w:val="single" w:color="999999" w:sz="4"/>
              <w:left w:val="single" w:color="999999" w:sz="4"/>
              <w:bottom w:val="single" w:color="999999" w:sz="4"/>
              <w:right w:val="single" w:color="999999" w:sz="4"/>
            </w:tcBorders>
            <w:shd w:fill="E7ECF4" w:color="auto" w:val="clear"/>
            <w:tcMar>
              <w:top w:type="dxa" w:w="60"/>
              <w:left w:type="dxa" w:w="90"/>
              <w:bottom w:type="dxa" w:w="60"/>
              <w:right w:type="dxa" w:w="90"/>
            </w:tcMar>
          </w:tcPr>
          <w:p>
            <w:pPr>
              <w:spacing w:after="40"/>
            </w:pPr>
            <w:r>
              <w:rPr>
                <w:b/>
                <w:bCs/>
                <w:sz w:val="19"/>
                <w:szCs w:val="19"/>
              </w:rPr>
              <w:t xml:space="preserve">Ce qui est écrit</w:t>
            </w:r>
          </w:p>
        </w:tc>
        <w:tc>
          <w:tcPr>
            <w:tcW w:type="dxa" w:w="3026"/>
            <w:tcBorders>
              <w:top w:val="single" w:color="999999" w:sz="4"/>
              <w:left w:val="single" w:color="999999" w:sz="4"/>
              <w:bottom w:val="single" w:color="999999" w:sz="4"/>
              <w:right w:val="single" w:color="999999" w:sz="4"/>
            </w:tcBorders>
            <w:shd w:fill="E7ECF4" w:color="auto" w:val="clear"/>
            <w:tcMar>
              <w:top w:type="dxa" w:w="60"/>
              <w:left w:type="dxa" w:w="90"/>
              <w:bottom w:type="dxa" w:w="60"/>
              <w:right w:type="dxa" w:w="90"/>
            </w:tcMar>
          </w:tcPr>
          <w:p>
            <w:pPr>
              <w:spacing w:after="40"/>
            </w:pPr>
            <w:r>
              <w:rPr>
                <w:b/>
                <w:bCs/>
                <w:sz w:val="19"/>
                <w:szCs w:val="19"/>
              </w:rPr>
              <w:t xml:space="preserve">Problème</w:t>
            </w:r>
          </w:p>
        </w:tc>
        <w:tc>
          <w:tcPr>
            <w:tcW w:type="dxa" w:w="3000"/>
            <w:tcBorders>
              <w:top w:val="single" w:color="999999" w:sz="4"/>
              <w:left w:val="single" w:color="999999" w:sz="4"/>
              <w:bottom w:val="single" w:color="999999" w:sz="4"/>
              <w:right w:val="single" w:color="999999" w:sz="4"/>
            </w:tcBorders>
            <w:shd w:fill="E7ECF4" w:color="auto" w:val="clear"/>
            <w:tcMar>
              <w:top w:type="dxa" w:w="60"/>
              <w:left w:type="dxa" w:w="90"/>
              <w:bottom w:type="dxa" w:w="60"/>
              <w:right w:type="dxa" w:w="90"/>
            </w:tcMar>
          </w:tcPr>
          <w:p>
            <w:pPr>
              <w:spacing w:after="40"/>
            </w:pPr>
            <w:r>
              <w:rPr>
                <w:b/>
                <w:bCs/>
                <w:sz w:val="19"/>
                <w:szCs w:val="19"/>
              </w:rPr>
              <w:t xml:space="preserve">Ce que disent les données / le calcul</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10-11</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Tableau des tranches d’âge et graphique « DST, DECS et DR »</w:t>
            </w:r>
          </w:p>
        </w:tc>
        <w:tc>
          <w:tcPr>
            <w:tcW w:type="dxa" w:w="30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bCs/>
                <w:sz w:val="19"/>
                <w:szCs w:val="19"/>
              </w:rPr>
              <w:t xml:space="preserve">Majeur. </w:t>
            </w:r>
            <w:r>
              <w:rPr>
                <w:b w:val="false"/>
                <w:bCs w:val="false"/>
                <w:sz w:val="19"/>
                <w:szCs w:val="19"/>
              </w:rPr>
              <w:t xml:space="preserve">14 cases sur 15 ne correspondent pas aux données. Les tranches 50-54 / 55-59 n’existent pas dans les données de la professeure. Le tableau est juste en lui-même (totaux 380 / 320 / 250 / 950, et 28 % de 55 ans et plus).</w:t>
            </w:r>
          </w:p>
        </w:tc>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Tableau 2 de la professeure (moins de 30 / 30-39 / 40-49 / 50-59 / 60 et plus) : DST 20 / 60 / 120 / 130 / 50 ; DECS 60 / 110 / 90 / 45 / 15 ; DR 25 / 60 / 90 / 55 / 20 ; total 105 / 230 / 300 / 230 / 85</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10</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DST &gt; 50 ans = 47,4 % ; DECS = 18,75 % ; DR = 30 %</w:t>
            </w:r>
          </w:p>
        </w:tc>
        <w:tc>
          <w:tcPr>
            <w:tcW w:type="dxa" w:w="30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bCs/>
                <w:sz w:val="19"/>
                <w:szCs w:val="19"/>
              </w:rPr>
              <w:t xml:space="preserve">Incohérence. </w:t>
            </w:r>
            <w:r>
              <w:rPr>
                <w:b w:val="false"/>
                <w:bCs w:val="false"/>
                <w:sz w:val="19"/>
                <w:szCs w:val="19"/>
              </w:rPr>
              <w:t xml:space="preserve">Ces chiffres sont justes d’après les données, mais votre tableau donne 45 % ; 26,6 % ; 52 %. Il faudrait aussi écrire « 50 ans et plus » plutôt que « &gt; 50 ans ».</w:t>
            </w:r>
          </w:p>
        </w:tc>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180/380 = 47,4 % ; 60/320 = 18,75 % ; 75/250 = 30 %. Le dossier contexte dit « 45 % des agents de la DST ont plus de 50 ans » : l’écart vient de « plus de 50 » contre « 50 et plus ».</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7</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DST : 15 % contractuels</w:t>
            </w:r>
          </w:p>
        </w:tc>
        <w:tc>
          <w:tcPr>
            <w:tcW w:type="dxa" w:w="30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bCs/>
                <w:sz w:val="19"/>
                <w:szCs w:val="19"/>
              </w:rPr>
              <w:t xml:space="preserve">Erreur d’arrondi. </w:t>
            </w:r>
          </w:p>
        </w:tc>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60 / 380 = 15,8 %, soit 16 %. La DST et la DR ont donc presque la même part de contractuels.</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9</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 Sur les 15 métiers étudiés »</w:t>
            </w:r>
          </w:p>
        </w:tc>
        <w:tc>
          <w:tcPr>
            <w:tcW w:type="dxa" w:w="30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bCs/>
                <w:sz w:val="19"/>
                <w:szCs w:val="19"/>
              </w:rPr>
              <w:t xml:space="preserve">Introuvable. </w:t>
            </w:r>
            <w:r>
              <w:rPr>
                <w:b w:val="false"/>
                <w:bCs w:val="false"/>
                <w:sz w:val="19"/>
                <w:szCs w:val="19"/>
              </w:rPr>
              <w:t xml:space="preserve">Le nombre 15 ne correspond à aucun comptage.</w:t>
            </w:r>
          </w:p>
        </w:tc>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Votre cartographie compte 20 métiers différents (22 avec les doublons), les données 20 familles.</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6</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 10 % des postes sont actuellement vacants » ; « 15 formations »</w:t>
            </w:r>
          </w:p>
        </w:tc>
        <w:tc>
          <w:tcPr>
            <w:tcW w:type="dxa" w:w="30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bCs/>
                <w:sz w:val="19"/>
                <w:szCs w:val="19"/>
              </w:rPr>
              <w:t xml:space="preserve">Précision manquante.</w:t>
            </w:r>
          </w:p>
        </w:tc>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Données : 10 % de postes de techniciens vacants depuis plus de 6 mois ; 15 formations qualifiantes en 3 ans.</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7 et suite</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 2 % de départs hors retraite » ; « 56 % n’ont suivi aucune formation »</w:t>
            </w:r>
          </w:p>
        </w:tc>
        <w:tc>
          <w:tcPr>
            <w:tcW w:type="dxa" w:w="30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bCs/>
                <w:sz w:val="19"/>
                <w:szCs w:val="19"/>
              </w:rPr>
              <w:t xml:space="preserve">Période non précisée.</w:t>
            </w:r>
          </w:p>
        </w:tc>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2 % sur 3 ans ; 56 % sur l’année N (420 agents formés dans l’année, soit 44 %).</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14</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 au moins 12 conducteurs PL (20 départs - 8 agents formés au permis PL) » ; « 10 à 15 informaticiens en 5 ans »</w:t>
            </w:r>
          </w:p>
        </w:tc>
        <w:tc>
          <w:tcPr>
            <w:tcW w:type="dxa" w:w="30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bCs/>
                <w:sz w:val="19"/>
                <w:szCs w:val="19"/>
              </w:rPr>
              <w:t xml:space="preserve">Hypothèses. </w:t>
            </w:r>
            <w:r>
              <w:rPr>
                <w:b w:val="false"/>
                <w:bCs w:val="false"/>
                <w:sz w:val="19"/>
                <w:szCs w:val="19"/>
              </w:rPr>
              <w:t xml:space="preserve">Le « 8 » et le « 10 à 15 » ne viennent pas des données. Les 8 départs de gestionnaires RH vers d’autres employeurs ne sont pas comptés.</w:t>
            </w:r>
          </w:p>
        </w:tc>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Calculs justes (20 - 8 = 12 ; 25 + 7 = 32). Il faut pouvoir justifier ces hypothèses à l’oral.</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14 et 17</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Formations obligatoires : de 55 % à 40 % sans augmenter les 350 000 €</w:t>
            </w:r>
          </w:p>
        </w:tc>
        <w:tc>
          <w:tcPr>
            <w:tcW w:type="dxa" w:w="30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bCs/>
                <w:sz w:val="19"/>
                <w:szCs w:val="19"/>
              </w:rPr>
              <w:t xml:space="preserve">À expliquer. </w:t>
            </w:r>
            <w:r>
              <w:rPr>
                <w:b w:val="false"/>
                <w:bCs w:val="false"/>
                <w:sz w:val="19"/>
                <w:szCs w:val="19"/>
              </w:rPr>
              <w:t xml:space="preserve">Le calcul est juste (52 500 € à redistribuer), mais le texte ne dit pas comment les formations obligatoires (sécurité) restent assurées.</w:t>
            </w:r>
          </w:p>
        </w:tc>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Dans le camembert p. 9, « Autres 15 % » est un reste calculé (100 - 55 - 20 - 10), pas une catégorie de la professeure.</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16</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Indicateur 3 : « 0 % (pas de tutorat organisé) » ; indicateur 1 : « RH : 25 % »</w:t>
            </w:r>
          </w:p>
        </w:tc>
        <w:tc>
          <w:tcPr>
            <w:tcW w:type="dxa" w:w="30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bCs/>
                <w:sz w:val="19"/>
                <w:szCs w:val="19"/>
              </w:rPr>
              <w:t xml:space="preserve">À justifier. </w:t>
            </w:r>
            <w:r>
              <w:rPr>
                <w:b w:val="false"/>
                <w:bCs w:val="false"/>
                <w:sz w:val="19"/>
                <w:szCs w:val="19"/>
              </w:rPr>
              <w:t xml:space="preserve">Le 0 % est une hypothèse, pas un chiffre du diagnostic. Le 25 % est juste, mais il n’apparaît pas dans votre séance 3.</w:t>
            </w:r>
          </w:p>
        </w:tc>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15 départs de gestionnaires RH sur 60 = 25 %.</w:t>
            </w:r>
          </w:p>
        </w:tc>
      </w:tr>
    </w:tbl>
    <w:p>
      <w:pPr>
        <w:spacing w:after="120" w:before="120" w:line="276" w:lineRule="auto"/>
        <w:jc w:val="left"/>
      </w:pPr>
      <w:r>
        <w:rPr>
          <w:b/>
          <w:bCs/>
        </w:rPr>
        <w:t xml:space="preserve">Écarts qui s’expliquent par les documents : </w:t>
      </w:r>
      <w:r>
        <w:t xml:space="preserve">mobilité interne de 7 % (données chiffrées) contre « environ 5 % » dans le dossier contexte. Le dossier suit les données chiffrées, c’est correct.</w:t>
      </w:r>
    </w:p>
    <w:p>
      <w:pPr>
        <w:spacing w:after="120" w:before="0" w:line="276" w:lineRule="auto"/>
        <w:jc w:val="left"/>
      </w:pPr>
      <w:r>
        <w:rPr>
          <w:b/>
          <w:bCs/>
        </w:rPr>
        <w:t xml:space="preserve">Chiffres vérifiés et justes : </w:t>
      </w:r>
      <w:r>
        <w:t xml:space="preserve">950 agents (380 / 320 / 250) ; âges moyens 51 / 43 / 47 ans ; 28 % et 16 % de contractuels (DECS, DR) ; solde de la DST de -4 par an ; 28 % de 55 ans et plus (266 agents) ; 20 % de CDD (190) ; 4 % et 9 % de postes vacants ; 55 % de formations obligatoires ; 56 % d’agents sans formation ; 7 % de mobilité (70 agents) ; 5 métiers en tension = 300 agents ; 60 départs sur 170 = 35 % ; 50 % des conducteurs PL, 36 % des techniciens et 25 % des gestionnaires RH ; camemberts p. 9 ; estimations p. 14 ; objectifs du tableau de bord.</w:t>
      </w:r>
    </w:p>
    <w:p>
      <w:pPr>
        <w:pStyle w:val="Heading1"/>
        <w:keepNext/>
        <w:spacing w:after="140" w:before="320"/>
      </w:pPr>
      <w:r>
        <w:rPr>
          <w:b/>
          <w:bCs/>
          <w:color w:val="1F3864"/>
          <w:sz w:val="26"/>
          <w:szCs w:val="26"/>
        </w:rPr>
        <w:t xml:space="preserve">4. Éléments manquants par rapport aux consignes</w:t>
      </w:r>
    </w:p>
    <w:p>
      <w:pPr>
        <w:pStyle w:val="Heading2"/>
        <w:keepNext/>
        <w:spacing w:after="80" w:before="200"/>
      </w:pPr>
      <w:r>
        <w:rPr>
          <w:b/>
          <w:bCs/>
          <w:sz w:val="23"/>
          <w:szCs w:val="23"/>
        </w:rPr>
        <w:t xml:space="preserve">Séance 1 (livrable n°1 : synthèse du contexte et des enjeux)</w:t>
      </w:r>
    </w:p>
    <w:p>
      <w:pPr>
        <w:pStyle w:val="ListParagraph"/>
        <w:numPr>
          <w:ilvl w:val="0"/>
          <w:numId w:val="2"/>
        </w:numPr>
        <w:spacing w:after="60" w:line="264" w:lineRule="auto"/>
      </w:pPr>
      <w:r>
        <w:t xml:space="preserve">La synthèse est présente, en notes. Plusieurs enjeux du contexte manquent :</w:t>
      </w:r>
    </w:p>
    <w:p>
      <w:pPr>
        <w:pStyle w:val="ListParagraph"/>
        <w:numPr>
          <w:ilvl w:val="1"/>
          <w:numId w:val="2"/>
        </w:numPr>
        <w:spacing w:after="60" w:line="264" w:lineRule="auto"/>
      </w:pPr>
      <w:r>
        <w:t xml:space="preserve">la difficulté à garder les informaticiens face au privé (DR) ;</w:t>
      </w:r>
    </w:p>
    <w:p>
      <w:pPr>
        <w:pStyle w:val="ListParagraph"/>
        <w:numPr>
          <w:ilvl w:val="1"/>
          <w:numId w:val="2"/>
        </w:numPr>
        <w:spacing w:after="60" w:line="264" w:lineRule="auto"/>
      </w:pPr>
      <w:r>
        <w:t xml:space="preserve">les contrats précaires et les horaires difficiles dans l’animation (DECS) ;</w:t>
      </w:r>
    </w:p>
    <w:p>
      <w:pPr>
        <w:pStyle w:val="ListParagraph"/>
        <w:numPr>
          <w:ilvl w:val="1"/>
          <w:numId w:val="2"/>
        </w:numPr>
        <w:spacing w:after="60" w:line="264" w:lineRule="auto"/>
      </w:pPr>
      <w:r>
        <w:t xml:space="preserve">le turnover de 6 %, avec des pics dans l’animation et l’informatique ;</w:t>
      </w:r>
    </w:p>
    <w:p>
      <w:pPr>
        <w:pStyle w:val="ListParagraph"/>
        <w:numPr>
          <w:ilvl w:val="1"/>
          <w:numId w:val="2"/>
        </w:numPr>
        <w:spacing w:after="60" w:line="264" w:lineRule="auto"/>
      </w:pPr>
      <w:r>
        <w:t xml:space="preserve">les services en ligne pour les habitants (portail, guichet unique) ;</w:t>
      </w:r>
    </w:p>
    <w:p>
      <w:pPr>
        <w:pStyle w:val="ListParagraph"/>
        <w:numPr>
          <w:ilvl w:val="1"/>
          <w:numId w:val="2"/>
        </w:numPr>
        <w:spacing w:after="60" w:line="264" w:lineRule="auto"/>
      </w:pPr>
      <w:r>
        <w:t xml:space="preserve">le risque de perte de compétences sur les 3 métiers critiques signalé par l’audit.</w:t>
      </w:r>
    </w:p>
    <w:p>
      <w:pPr>
        <w:pStyle w:val="ListParagraph"/>
        <w:numPr>
          <w:ilvl w:val="0"/>
          <w:numId w:val="2"/>
        </w:numPr>
        <w:spacing w:after="60" w:line="264" w:lineRule="auto"/>
      </w:pPr>
      <w:r>
        <w:t xml:space="preserve">« Manque de services publics » est un contresens : le contexte parle d’« attentes fortes des habitants en termes de qualité des services publics ». À reformuler.</w:t>
      </w:r>
    </w:p>
    <w:p>
      <w:pPr>
        <w:pStyle w:val="Heading2"/>
        <w:keepNext/>
        <w:spacing w:after="80" w:before="200"/>
      </w:pPr>
      <w:r>
        <w:rPr>
          <w:b/>
          <w:bCs/>
          <w:sz w:val="23"/>
          <w:szCs w:val="23"/>
        </w:rPr>
        <w:t xml:space="preserve">Séance 2 (cartographie et référentiels)</w:t>
      </w:r>
    </w:p>
    <w:p>
      <w:pPr>
        <w:pStyle w:val="ListParagraph"/>
        <w:numPr>
          <w:ilvl w:val="0"/>
          <w:numId w:val="2"/>
        </w:numPr>
        <w:spacing w:after="60" w:line="264" w:lineRule="auto"/>
      </w:pPr>
      <w:r>
        <w:t xml:space="preserve">La fiche demande, pour chaque famille, des métiers « cœur », critiques et émergents. Culture/Sport et Ressources n’ont ni métier cœur ni métier émergent, et Éducation/Animation n’a pas d’émergent.</w:t>
      </w:r>
    </w:p>
    <w:p>
      <w:pPr>
        <w:pStyle w:val="ListParagraph"/>
        <w:numPr>
          <w:ilvl w:val="0"/>
          <w:numId w:val="2"/>
        </w:numPr>
        <w:spacing w:after="60" w:line="264" w:lineRule="auto"/>
      </w:pPr>
      <w:r>
        <w:t xml:space="preserve">Les animateurs et les bibliothécaires apparaissent dans deux familles. Les gardiens d’équipements sportifs (20 agents) sont absents.</w:t>
      </w:r>
    </w:p>
    <w:p>
      <w:pPr>
        <w:pStyle w:val="ListParagraph"/>
        <w:numPr>
          <w:ilvl w:val="0"/>
          <w:numId w:val="2"/>
        </w:numPr>
        <w:spacing w:after="60" w:line="264" w:lineRule="auto"/>
      </w:pPr>
      <w:r>
        <w:t xml:space="preserve">Le référentiel du technicien ne cite ni le chauffage/CVC ni la rénovation énergétique, alors que ce sont les compétences qui rendent ce métier critique (audit, scénario A).</w:t>
      </w:r>
    </w:p>
    <w:p>
      <w:pPr>
        <w:pStyle w:val="ListParagraph"/>
        <w:numPr>
          <w:ilvl w:val="0"/>
          <w:numId w:val="2"/>
        </w:numPr>
        <w:spacing w:after="60" w:line="264" w:lineRule="auto"/>
      </w:pPr>
      <w:r>
        <w:t xml:space="preserve">« Relation usagers » et « sens du service public », cités en exemple dans la fiche, n’apparaissent dans aucun référentiel.</w:t>
      </w:r>
    </w:p>
    <w:p>
      <w:pPr>
        <w:pStyle w:val="ListParagraph"/>
        <w:numPr>
          <w:ilvl w:val="0"/>
          <w:numId w:val="2"/>
        </w:numPr>
        <w:spacing w:after="60" w:line="264" w:lineRule="auto"/>
      </w:pPr>
      <w:r>
        <w:t xml:space="preserve">Deux échelles de niveau se côtoient : « opérationnel à maîtrisé » dans vos paragraphes, débutant / autonome / expert dans le tableau.</w:t>
      </w:r>
    </w:p>
    <w:p>
      <w:pPr>
        <w:pStyle w:val="ListParagraph"/>
        <w:numPr>
          <w:ilvl w:val="0"/>
          <w:numId w:val="2"/>
        </w:numPr>
        <w:spacing w:after="60" w:line="264" w:lineRule="auto"/>
      </w:pPr>
      <w:r>
        <w:t xml:space="preserve">Les « liens entre familles » demandés par le mandat sont peu présents : les passerelles restent dans une même famille.</w:t>
      </w:r>
    </w:p>
    <w:p>
      <w:pPr>
        <w:pStyle w:val="ListParagraph"/>
        <w:numPr>
          <w:ilvl w:val="0"/>
          <w:numId w:val="2"/>
        </w:numPr>
        <w:spacing w:after="60" w:line="264" w:lineRule="auto"/>
      </w:pPr>
      <w:r>
        <w:t xml:space="preserve">Le titre de la séance (« Cartographie (tableau, schéma, carte mentale…) + fiches référentiels… ») ressemble à un rappel de consigne. Le livrable s’appelle « Cartographie des métiers et référentiels de compétences ».</w:t>
      </w:r>
    </w:p>
    <w:p>
      <w:pPr>
        <w:pStyle w:val="Heading2"/>
        <w:keepNext/>
        <w:spacing w:after="80" w:before="200"/>
      </w:pPr>
      <w:r>
        <w:rPr>
          <w:b/>
          <w:bCs/>
          <w:sz w:val="23"/>
          <w:szCs w:val="23"/>
        </w:rPr>
        <w:t xml:space="preserve">Séance 3 (diagnostic)</w:t>
      </w:r>
    </w:p>
    <w:p>
      <w:pPr>
        <w:pStyle w:val="ListParagraph"/>
        <w:numPr>
          <w:ilvl w:val="0"/>
          <w:numId w:val="2"/>
        </w:numPr>
        <w:spacing w:after="60" w:line="264" w:lineRule="auto"/>
      </w:pPr>
      <w:r>
        <w:t xml:space="preserve">Les encadrés Éducation/Animation, Culture/Sport et Ressources n’ont aucun chiffre ; seul celui de la DST en a. L’encadré Ressources ne cite ni les informaticiens ni les gestionnaires RH.</w:t>
      </w:r>
    </w:p>
    <w:p>
      <w:pPr>
        <w:pStyle w:val="ListParagraph"/>
        <w:numPr>
          <w:ilvl w:val="0"/>
          <w:numId w:val="2"/>
        </w:numPr>
        <w:spacing w:after="60" w:line="264" w:lineRule="auto"/>
      </w:pPr>
      <w:r>
        <w:t xml:space="preserve">La partie « Métiers critiques » est courte : rien sur les techniciens (22 agents de 57 ans et plus) ni sur les gestionnaires RH (15 départs, 8 départs vers d’autres employeurs, SIRH dans 2 ans).</w:t>
      </w:r>
    </w:p>
    <w:p>
      <w:pPr>
        <w:pStyle w:val="ListParagraph"/>
        <w:numPr>
          <w:ilvl w:val="0"/>
          <w:numId w:val="2"/>
        </w:numPr>
        <w:spacing w:after="60" w:line="264" w:lineRule="auto"/>
      </w:pPr>
      <w:r>
        <w:t xml:space="preserve">La synthèse ne cite pas les forces de la ville, alors que la fiche les demande.</w:t>
      </w:r>
    </w:p>
    <w:p>
      <w:pPr>
        <w:pStyle w:val="ListParagraph"/>
        <w:numPr>
          <w:ilvl w:val="0"/>
          <w:numId w:val="2"/>
        </w:numPr>
        <w:spacing w:after="60" w:line="264" w:lineRule="auto"/>
      </w:pPr>
      <w:r>
        <w:t xml:space="preserve">Il n’y a pas de titre de livrable (« Diagnostic emplois–compétences »), et l’intertitre « Cartographie des métiers » reprend le nom de la séance 2.</w:t>
      </w:r>
    </w:p>
    <w:p>
      <w:pPr>
        <w:pStyle w:val="Heading2"/>
        <w:keepNext/>
        <w:spacing w:after="80" w:before="200"/>
      </w:pPr>
      <w:r>
        <w:rPr>
          <w:b/>
          <w:bCs/>
          <w:sz w:val="23"/>
          <w:szCs w:val="23"/>
        </w:rPr>
        <w:t xml:space="preserve">Séance 4 (scénarios et plan d’actions)</w:t>
      </w:r>
    </w:p>
    <w:p>
      <w:pPr>
        <w:pStyle w:val="ListParagraph"/>
        <w:numPr>
          <w:ilvl w:val="0"/>
          <w:numId w:val="2"/>
        </w:numPr>
        <w:spacing w:after="60" w:line="264" w:lineRule="auto"/>
      </w:pPr>
      <w:r>
        <w:t xml:space="preserve">Scénarios : tout ce qui est demandé est là. Deux manques : la gestion de projet et le management dans les compétences à développer, et le scénario A limité aux bâtiments (l’axe 1 du maire comprend aussi les espaces verts, les mobilités douces et l’aménagement des espaces publics).</w:t>
      </w:r>
    </w:p>
    <w:p>
      <w:pPr>
        <w:pStyle w:val="ListParagraph"/>
        <w:numPr>
          <w:ilvl w:val="0"/>
          <w:numId w:val="2"/>
        </w:numPr>
        <w:spacing w:after="60" w:line="264" w:lineRule="auto"/>
      </w:pPr>
      <w:r>
        <w:t xml:space="preserve">Plan : 4 axes, 9 actions et toutes les colonnes de la fiche. Mais il tient sur environ 1,5 page au lieu de 3 à 4, les cases sont très courtes (« comment ? » et cible chiffrée peu détaillés), et aucune action ne vise le recrutement à la DST, les compétences CVC, les gestionnaires RH ou la relation usagers.</w:t>
      </w:r>
    </w:p>
    <w:p>
      <w:pPr>
        <w:pStyle w:val="Heading2"/>
        <w:keepNext/>
        <w:spacing w:after="80" w:before="200"/>
      </w:pPr>
      <w:r>
        <w:rPr>
          <w:b/>
          <w:bCs/>
          <w:sz w:val="23"/>
          <w:szCs w:val="23"/>
        </w:rPr>
        <w:t xml:space="preserve">Séance 5 (tableau de bord)</w:t>
      </w:r>
    </w:p>
    <w:p>
      <w:pPr>
        <w:pStyle w:val="ListParagraph"/>
        <w:numPr>
          <w:ilvl w:val="0"/>
          <w:numId w:val="2"/>
        </w:numPr>
        <w:spacing w:after="60" w:line="264" w:lineRule="auto"/>
      </w:pPr>
      <w:r>
        <w:t xml:space="preserve">Conforme : 9 indicateurs (la fiche en demande 5 à 10), chacun avec ses 7 éléments, sur 2 pages.</w:t>
      </w:r>
    </w:p>
    <w:p>
      <w:pPr>
        <w:pStyle w:val="ListParagraph"/>
        <w:numPr>
          <w:ilvl w:val="0"/>
          <w:numId w:val="2"/>
        </w:numPr>
        <w:spacing w:after="60" w:line="264" w:lineRule="auto"/>
      </w:pPr>
      <w:r>
        <w:t xml:space="preserve">L’objectif « 44 % → 55 % d’agents formés » de la séance 4 n’a pas d’indicateur.</w:t>
      </w:r>
    </w:p>
    <w:p>
      <w:pPr>
        <w:pStyle w:val="ListParagraph"/>
        <w:numPr>
          <w:ilvl w:val="0"/>
          <w:numId w:val="2"/>
        </w:numPr>
        <w:spacing w:after="60" w:line="264" w:lineRule="auto"/>
      </w:pPr>
      <w:r>
        <w:t xml:space="preserve">Les indicateurs de résultat sont peu nombreux : rien sur la couverture des compétences ni sur l’attractivité des métiers de la DST (10 % de postes de techniciens vacants, 3 candidatures par poste de conducteur PL).</w:t>
      </w:r>
    </w:p>
    <w:p>
      <w:pPr>
        <w:pStyle w:val="Heading1"/>
        <w:keepNext/>
        <w:spacing w:after="140" w:before="320"/>
      </w:pPr>
      <w:r>
        <w:rPr>
          <w:b/>
          <w:bCs/>
          <w:color w:val="1F3864"/>
          <w:sz w:val="26"/>
          <w:szCs w:val="26"/>
        </w:rPr>
        <w:t xml:space="preserve">5. Passages qui ne correspondent pas au travail du groupe 2</w:t>
      </w:r>
    </w:p>
    <w:p>
      <w:pPr>
        <w:pStyle w:val="Heading2"/>
        <w:keepNext/>
        <w:spacing w:after="80" w:before="200"/>
      </w:pPr>
      <w:r>
        <w:rPr>
          <w:b/>
          <w:bCs/>
          <w:sz w:val="23"/>
          <w:szCs w:val="23"/>
        </w:rPr>
        <w:t xml:space="preserve">Ressemblances avec le groupe 1</w:t>
      </w:r>
    </w:p>
    <w:p>
      <w:pPr>
        <w:spacing w:after="120" w:before="0" w:line="276" w:lineRule="auto"/>
        <w:jc w:val="left"/>
      </w:pPr>
      <w:r>
        <w:rPr>
          <w:b/>
          <w:bCs/>
        </w:rPr>
        <w:t xml:space="preserve">Rien n’a été copié du groupe 1. </w:t>
      </w:r>
      <w:r>
        <w:t xml:space="preserve">La recherche des suites de 4 mots communes ne trouve que des expressions banales ou des mots des consignes. Les marques propres au groupe 1 sont absentes : 3e scénario, budgets en millions, calendrier 2027-2031, guichet, immersions, 9-box, comité de pilotage. Tous vos objectifs chiffrés sont différents des leurs. Il reste trois ressemblances d’idées, qui viennent surtout des consignes communes :</w:t>
      </w:r>
    </w:p>
    <w:p>
      <w:pPr>
        <w:pStyle w:val="ListParagraph"/>
        <w:numPr>
          <w:ilvl w:val="0"/>
          <w:numId w:val="2"/>
        </w:numPr>
        <w:spacing w:after="60" w:line="264" w:lineRule="auto"/>
      </w:pPr>
      <w:r>
        <w:rPr>
          <w:b/>
          <w:bCs/>
        </w:rPr>
        <w:t xml:space="preserve">Indicateur 1 de la séance 5 (départs à la retraite à 5 ans) : </w:t>
      </w:r>
      <w:r>
        <w:t xml:space="preserve">même nom, même formule et mêmes chiffres que la 1re ligne du tableau du groupe 1. C’est normal : c’est le premier exemple de la fiche, et les chiffres viennent des données. Vous pouvez l’assumer.</w:t>
      </w:r>
    </w:p>
    <w:p>
      <w:pPr>
        <w:pStyle w:val="ListParagraph"/>
        <w:numPr>
          <w:ilvl w:val="0"/>
          <w:numId w:val="2"/>
        </w:numPr>
        <w:spacing w:after="60" w:line="264" w:lineRule="auto"/>
      </w:pPr>
      <w:r>
        <w:rPr>
          <w:b/>
          <w:bCs/>
        </w:rPr>
        <w:t xml:space="preserve">« Budget et dialogue social » (p. 15) : </w:t>
      </w:r>
      <w:r>
        <w:t xml:space="preserve">même raisonnement que la fin du plan du groupe 1 (actions peu coûteuses, CNFPT, représentants du personnel). Aucune phrase n’est copiée. À garder seulement si vous savez l’expliquer à l’oral.</w:t>
      </w:r>
    </w:p>
    <w:p>
      <w:pPr>
        <w:pStyle w:val="ListParagraph"/>
        <w:numPr>
          <w:ilvl w:val="0"/>
          <w:numId w:val="2"/>
        </w:numPr>
        <w:spacing w:after="60" w:line="264" w:lineRule="auto"/>
      </w:pPr>
      <w:r>
        <w:rPr>
          <w:b/>
          <w:bCs/>
        </w:rPr>
        <w:t xml:space="preserve">« Passerelles et parcours possibles » (p. 3) : </w:t>
      </w:r>
      <w:r>
        <w:t xml:space="preserve">idée proche d’une action du groupe 1 (passerelles vers les conducteurs PL, les techniciens et l’accueil). Deux passerelles viennent de votre plan (permis PL, parcours des animateurs). Les deux autres ne figuraient pas dans votre travail : agents de maintenance → techniciens, et assistants administratifs → accueil ou assistant RH.</w:t>
      </w:r>
    </w:p>
    <w:p>
      <w:pPr>
        <w:pStyle w:val="Heading2"/>
        <w:keepNext/>
        <w:spacing w:after="80" w:before="200"/>
      </w:pPr>
      <w:r>
        <w:rPr>
          <w:b/>
          <w:bCs/>
          <w:sz w:val="23"/>
          <w:szCs w:val="23"/>
        </w:rPr>
        <w:t xml:space="preserve">Parties écrites par l’assistant, et non par vous</w:t>
      </w:r>
    </w:p>
    <w:p>
      <w:pPr>
        <w:spacing w:after="120" w:before="0" w:line="276" w:lineRule="auto"/>
        <w:jc w:val="left"/>
      </w:pPr>
      <w:r>
        <w:t xml:space="preserve">Près de la moitié du texte actuel (environ 45 %) a été ajoutée au cours de nos échanges, à votre demande. Il faut le relire ensemble pour pouvoir le défendre à l’oral :</w:t>
      </w:r>
    </w:p>
    <w:p>
      <w:pPr>
        <w:pStyle w:val="ListParagraph"/>
        <w:numPr>
          <w:ilvl w:val="0"/>
          <w:numId w:val="2"/>
        </w:numPr>
        <w:spacing w:after="60" w:line="264" w:lineRule="auto"/>
      </w:pPr>
      <w:r>
        <w:t xml:space="preserve">Séance 2 : les « Passerelles et parcours possibles », le tableau « Niveaux attendus », les compléments de la colonne Éducation/Animation (ATSEM, directeurs d’accueils de loisirs).</w:t>
      </w:r>
    </w:p>
    <w:p>
      <w:pPr>
        <w:pStyle w:val="ListParagraph"/>
        <w:numPr>
          <w:ilvl w:val="0"/>
          <w:numId w:val="2"/>
        </w:numPr>
        <w:spacing w:after="60" w:line="264" w:lineRule="auto"/>
      </w:pPr>
      <w:r>
        <w:t xml:space="preserve">Séance 3 : les 3 camemberts et la partie « Risques à court, moyen et long terme ».</w:t>
      </w:r>
    </w:p>
    <w:p>
      <w:pPr>
        <w:pStyle w:val="ListParagraph"/>
        <w:numPr>
          <w:ilvl w:val="0"/>
          <w:numId w:val="2"/>
        </w:numPr>
        <w:spacing w:after="60" w:line="264" w:lineRule="auto"/>
      </w:pPr>
      <w:r>
        <w:t xml:space="preserve">Séance 4 : la matrice métiers / horizon, l’estimation des besoins, les paragraphes « Lien avec nos scénarios et le diagnostic » et « Budget et dialogue social ».</w:t>
      </w:r>
    </w:p>
    <w:p>
      <w:pPr>
        <w:pStyle w:val="ListParagraph"/>
        <w:numPr>
          <w:ilvl w:val="0"/>
          <w:numId w:val="2"/>
        </w:numPr>
        <w:spacing w:after="60" w:line="264" w:lineRule="auto"/>
      </w:pPr>
      <w:r>
        <w:t xml:space="preserve">Séance 5 en entier, et la conclusion.</w:t>
      </w:r>
    </w:p>
    <w:p>
      <w:pPr>
        <w:spacing w:after="120" w:before="0" w:line="276" w:lineRule="auto"/>
        <w:jc w:val="left"/>
      </w:pPr>
      <w:r>
        <w:t xml:space="preserve">Ces parties contiennent des </w:t>
      </w:r>
      <w:r>
        <w:rPr>
          <w:b/>
          <w:bCs/>
        </w:rPr>
        <w:t xml:space="preserve">hypothèses chiffrées</w:t>
      </w:r>
      <w:r>
        <w:t xml:space="preserve"> qui ne viennent pas directement des données. Il faut savoir les justifier :</w:t>
      </w:r>
    </w:p>
    <w:p>
      <w:pPr>
        <w:pStyle w:val="ListParagraph"/>
        <w:numPr>
          <w:ilvl w:val="1"/>
          <w:numId w:val="2"/>
        </w:numPr>
        <w:spacing w:after="60" w:line="264" w:lineRule="auto"/>
      </w:pPr>
      <w:r>
        <w:t xml:space="preserve">8 permis PL ;</w:t>
      </w:r>
    </w:p>
    <w:p>
      <w:pPr>
        <w:pStyle w:val="ListParagraph"/>
        <w:numPr>
          <w:ilvl w:val="1"/>
          <w:numId w:val="2"/>
        </w:numPr>
        <w:spacing w:after="60" w:line="264" w:lineRule="auto"/>
      </w:pPr>
      <w:r>
        <w:t xml:space="preserve">10 à 15 informaticiens ;</w:t>
      </w:r>
    </w:p>
    <w:p>
      <w:pPr>
        <w:pStyle w:val="ListParagraph"/>
        <w:numPr>
          <w:ilvl w:val="1"/>
          <w:numId w:val="2"/>
        </w:numPr>
        <w:spacing w:after="60" w:line="264" w:lineRule="auto"/>
      </w:pPr>
      <w:r>
        <w:t xml:space="preserve">10 % de mobilité visée ;</w:t>
      </w:r>
    </w:p>
    <w:p>
      <w:pPr>
        <w:pStyle w:val="ListParagraph"/>
        <w:numPr>
          <w:ilvl w:val="1"/>
          <w:numId w:val="2"/>
        </w:numPr>
        <w:spacing w:after="60" w:line="264" w:lineRule="auto"/>
      </w:pPr>
      <w:r>
        <w:t xml:space="preserve">40 % de formations obligatoires visées ;</w:t>
      </w:r>
    </w:p>
    <w:p>
      <w:pPr>
        <w:pStyle w:val="ListParagraph"/>
        <w:numPr>
          <w:ilvl w:val="1"/>
          <w:numId w:val="2"/>
        </w:numPr>
        <w:spacing w:after="60" w:line="264" w:lineRule="auto"/>
      </w:pPr>
      <w:r>
        <w:t xml:space="preserve">0 % de tutorat aujourd’hui ;</w:t>
      </w:r>
    </w:p>
    <w:p>
      <w:pPr>
        <w:pStyle w:val="ListParagraph"/>
        <w:numPr>
          <w:ilvl w:val="1"/>
          <w:numId w:val="2"/>
        </w:numPr>
        <w:spacing w:after="60" w:line="264" w:lineRule="auto"/>
      </w:pPr>
      <w:r>
        <w:t xml:space="preserve">environ 10 animateurs dans le parcours.</w:t>
      </w:r>
    </w:p>
    <w:p>
      <w:pPr>
        <w:pStyle w:val="Heading1"/>
        <w:keepNext/>
        <w:spacing w:after="140" w:before="320"/>
      </w:pPr>
      <w:r>
        <w:rPr>
          <w:b/>
          <w:bCs/>
          <w:color w:val="1F3864"/>
          <w:sz w:val="26"/>
          <w:szCs w:val="26"/>
        </w:rPr>
        <w:t xml:space="preserve">6. Améliorations recommandées avant le rendu</w:t>
      </w:r>
    </w:p>
    <w:p>
      <w:pPr>
        <w:spacing w:after="120" w:before="0" w:line="276" w:lineRule="auto"/>
        <w:jc w:val="left"/>
      </w:pPr>
      <w:r>
        <w:t xml:space="preserve">Rien de tout cela n’a été fait : ce sont vos choix. Les points sont classés par priorité.</w:t>
      </w:r>
    </w:p>
    <w:p>
      <w:pPr>
        <w:pStyle w:val="Heading2"/>
        <w:keepNext/>
        <w:spacing w:after="80" w:before="200"/>
      </w:pPr>
      <w:r>
        <w:rPr>
          <w:b/>
          <w:bCs/>
          <w:sz w:val="23"/>
          <w:szCs w:val="23"/>
        </w:rPr>
        <w:t xml:space="preserve">Priorité 1 : à régler absolument</w:t>
      </w:r>
    </w:p>
    <w:p>
      <w:pPr>
        <w:pStyle w:val="ListParagraph"/>
        <w:numPr>
          <w:ilvl w:val="0"/>
          <w:numId w:val="2"/>
        </w:numPr>
        <w:spacing w:after="60" w:line="264" w:lineRule="auto"/>
      </w:pPr>
      <w:r>
        <w:rPr>
          <w:b/>
          <w:bCs/>
        </w:rPr>
        <w:t xml:space="preserve">Tableau et graphique des âges (p. 10-11) : </w:t>
      </w:r>
      <w:r>
        <w:t xml:space="preserve">reprendre les 5 tranches de la professeure. Vos pourcentages « 47,4 % / 18,75 % / 30 % » deviennent alors justes sans être modifiés. Sinon, citer la source de votre découpage.</w:t>
      </w:r>
    </w:p>
    <w:p>
      <w:pPr>
        <w:pStyle w:val="ListParagraph"/>
        <w:numPr>
          <w:ilvl w:val="0"/>
          <w:numId w:val="2"/>
        </w:numPr>
        <w:spacing w:after="60" w:line="264" w:lineRule="auto"/>
      </w:pPr>
      <w:r>
        <w:rPr>
          <w:b/>
          <w:bCs/>
        </w:rPr>
        <w:t xml:space="preserve">« Suivre le tableau de bord » : </w:t>
      </w:r>
      <w:r>
        <w:t xml:space="preserve">mettre « Années 1 à 3 » au lieu de « Année 3 » dans la colonne « Quand ».</w:t>
      </w:r>
    </w:p>
    <w:p>
      <w:pPr>
        <w:pStyle w:val="ListParagraph"/>
        <w:numPr>
          <w:ilvl w:val="0"/>
          <w:numId w:val="2"/>
        </w:numPr>
        <w:spacing w:after="60" w:line="264" w:lineRule="auto"/>
      </w:pPr>
      <w:r>
        <w:rPr>
          <w:b/>
          <w:bCs/>
        </w:rPr>
        <w:t xml:space="preserve">Cartographie (p. 3) : </w:t>
      </w:r>
      <w:r>
        <w:t xml:space="preserve">aligner les étiquettes sur votre séance 3 : techniciens de maintenance « critiques », et revoir les mentions « critiques » des ouvriers, bibliothécaires, médiateurs et chefs de projet. Ranger chaque métier dans une seule famille, et compléter les métiers cœur et émergents.</w:t>
      </w:r>
    </w:p>
    <w:p>
      <w:pPr>
        <w:pStyle w:val="ListParagraph"/>
        <w:numPr>
          <w:ilvl w:val="0"/>
          <w:numId w:val="2"/>
        </w:numPr>
        <w:spacing w:after="60" w:line="264" w:lineRule="auto"/>
      </w:pPr>
      <w:r>
        <w:rPr>
          <w:b/>
          <w:bCs/>
        </w:rPr>
        <w:t xml:space="preserve">Plan d’actions : </w:t>
      </w:r>
      <w:r>
        <w:t xml:space="preserve">ajouter une action, ou une phrase dans « Priorités », pour les gestionnaires RH et pour les techniciens (formation CVC / rénovation énergétique). Partir de votre propre estimation, sans reprendre le groupe 1.</w:t>
      </w:r>
    </w:p>
    <w:p>
      <w:pPr>
        <w:pStyle w:val="Heading2"/>
        <w:keepNext/>
        <w:spacing w:after="80" w:before="200"/>
      </w:pPr>
      <w:r>
        <w:rPr>
          <w:b/>
          <w:bCs/>
          <w:sz w:val="23"/>
          <w:szCs w:val="23"/>
        </w:rPr>
        <w:t xml:space="preserve">Priorité 2 : améliore nettement le dossier</w:t>
      </w:r>
    </w:p>
    <w:p>
      <w:pPr>
        <w:pStyle w:val="ListParagraph"/>
        <w:numPr>
          <w:ilvl w:val="0"/>
          <w:numId w:val="2"/>
        </w:numPr>
        <w:spacing w:after="60" w:line="264" w:lineRule="auto"/>
      </w:pPr>
      <w:r>
        <w:t xml:space="preserve">Remplacer « Manque de services publics » par « Attentes fortes des habitants sur la qualité des services publics ».</w:t>
      </w:r>
    </w:p>
    <w:p>
      <w:pPr>
        <w:pStyle w:val="ListParagraph"/>
        <w:numPr>
          <w:ilvl w:val="0"/>
          <w:numId w:val="2"/>
        </w:numPr>
        <w:spacing w:after="60" w:line="264" w:lineRule="auto"/>
      </w:pPr>
      <w:r>
        <w:t xml:space="preserve">Écrire « 65 000 habitants » plutôt que « 65k » (même valeur ; laissé tel quel pour respecter votre consigne sur les chiffres).</w:t>
      </w:r>
    </w:p>
    <w:p>
      <w:pPr>
        <w:pStyle w:val="ListParagraph"/>
        <w:numPr>
          <w:ilvl w:val="0"/>
          <w:numId w:val="2"/>
        </w:numPr>
        <w:spacing w:after="60" w:line="264" w:lineRule="auto"/>
      </w:pPr>
      <w:r>
        <w:t xml:space="preserve">Vérifier le nombre « 15 métiers étudiés » et l’arrondi « 15 % » (16 %) de contractuels à la DST.</w:t>
      </w:r>
    </w:p>
    <w:p>
      <w:pPr>
        <w:pStyle w:val="ListParagraph"/>
        <w:numPr>
          <w:ilvl w:val="0"/>
          <w:numId w:val="2"/>
        </w:numPr>
        <w:spacing w:after="60" w:line="264" w:lineRule="auto"/>
      </w:pPr>
      <w:r>
        <w:t xml:space="preserve">Préciser « depuis plus de 6 mois » (10 % de postes vacants) et les périodes : 2 % sur 3 ans, 56 % dans l’année.</w:t>
      </w:r>
    </w:p>
    <w:p>
      <w:pPr>
        <w:pStyle w:val="ListParagraph"/>
        <w:numPr>
          <w:ilvl w:val="0"/>
          <w:numId w:val="2"/>
        </w:numPr>
        <w:spacing w:after="60" w:line="264" w:lineRule="auto"/>
      </w:pPr>
      <w:r>
        <w:t xml:space="preserve">Dans le plan, remplacer « SIRH » en année 1 par « fichiers RH, entretiens (puis SIRH) ».</w:t>
      </w:r>
    </w:p>
    <w:p>
      <w:pPr>
        <w:pStyle w:val="ListParagraph"/>
        <w:numPr>
          <w:ilvl w:val="0"/>
          <w:numId w:val="2"/>
        </w:numPr>
        <w:spacing w:after="60" w:line="264" w:lineRule="auto"/>
      </w:pPr>
      <w:r>
        <w:t xml:space="preserve">Ingénieur en énergie : écrire « Conseiller les élus et les services de la ville » plutôt que « les entreprises et collectivités ». Pour le technicien, ajouter CVC et rénovation énergétique. Justifier en une phrase le choix de l’agent des espaces verts, par exemple par la gestion écologique des espaces verts prévue dans le projet du maire.</w:t>
      </w:r>
    </w:p>
    <w:p>
      <w:pPr>
        <w:pStyle w:val="ListParagraph"/>
        <w:numPr>
          <w:ilvl w:val="0"/>
          <w:numId w:val="2"/>
        </w:numPr>
        <w:spacing w:after="60" w:line="264" w:lineRule="auto"/>
      </w:pPr>
      <w:r>
        <w:t xml:space="preserve">Choix du scénario A : reprendre votre argument « le scénario B ne règle pas le problème de la DST », et ajouter « conducteurs PL » au risque principal du scénario A.</w:t>
      </w:r>
    </w:p>
    <w:p>
      <w:pPr>
        <w:pStyle w:val="ListParagraph"/>
        <w:numPr>
          <w:ilvl w:val="0"/>
          <w:numId w:val="2"/>
        </w:numPr>
        <w:spacing w:after="60" w:line="264" w:lineRule="auto"/>
      </w:pPr>
      <w:r>
        <w:t xml:space="preserve">Commentaire sur la DECS (p. 10) : présenter le fort renouvellement comme un point de vigilance plutôt que comme « une bonne chose ».</w:t>
      </w:r>
    </w:p>
    <w:p>
      <w:pPr>
        <w:pStyle w:val="Heading2"/>
        <w:keepNext/>
        <w:spacing w:after="80" w:before="200"/>
      </w:pPr>
      <w:r>
        <w:rPr>
          <w:b/>
          <w:bCs/>
          <w:sz w:val="23"/>
          <w:szCs w:val="23"/>
        </w:rPr>
        <w:t xml:space="preserve">Priorité 3 : si vous avez le temps</w:t>
      </w:r>
    </w:p>
    <w:p>
      <w:pPr>
        <w:pStyle w:val="ListParagraph"/>
        <w:numPr>
          <w:ilvl w:val="0"/>
          <w:numId w:val="2"/>
        </w:numPr>
        <w:spacing w:after="60" w:line="264" w:lineRule="auto"/>
      </w:pPr>
      <w:r>
        <w:t xml:space="preserve">Ajouter une ligne « Forces » dans la synthèse de la séance 3, avec des chiffres déjà présents dans le dossier.</w:t>
      </w:r>
    </w:p>
    <w:p>
      <w:pPr>
        <w:pStyle w:val="ListParagraph"/>
        <w:numPr>
          <w:ilvl w:val="0"/>
          <w:numId w:val="2"/>
        </w:numPr>
        <w:spacing w:after="60" w:line="264" w:lineRule="auto"/>
      </w:pPr>
      <w:r>
        <w:t xml:space="preserve">Ajouter un petit tableau des 3 métiers critiques : effectif, âge moyen, agents de 57 ans et plus, départs à 5 ans, uniquement avec les données de la professeure.</w:t>
      </w:r>
    </w:p>
    <w:p>
      <w:pPr>
        <w:pStyle w:val="ListParagraph"/>
        <w:numPr>
          <w:ilvl w:val="0"/>
          <w:numId w:val="2"/>
        </w:numPr>
        <w:spacing w:after="60" w:line="264" w:lineRule="auto"/>
      </w:pPr>
      <w:r>
        <w:t xml:space="preserve">Ajouter « gestion de projet » et « management » aux compétences à développer.</w:t>
      </w:r>
    </w:p>
    <w:p>
      <w:pPr>
        <w:pStyle w:val="ListParagraph"/>
        <w:numPr>
          <w:ilvl w:val="0"/>
          <w:numId w:val="2"/>
        </w:numPr>
        <w:spacing w:after="60" w:line="264" w:lineRule="auto"/>
      </w:pPr>
      <w:r>
        <w:t xml:space="preserve">Écrire le titre du livrable sous chaque « Séance N ».</w:t>
      </w:r>
    </w:p>
    <w:p>
      <w:pPr>
        <w:pStyle w:val="ListParagraph"/>
        <w:numPr>
          <w:ilvl w:val="0"/>
          <w:numId w:val="2"/>
        </w:numPr>
        <w:spacing w:after="60" w:line="264" w:lineRule="auto"/>
      </w:pPr>
      <w:r>
        <w:t xml:space="preserve">Préparer l’oral sur les hypothèses chiffrées des parties ajoutées.</w:t>
      </w:r>
    </w:p>
    <w:p>
      <w:pPr>
        <w:pStyle w:val="Heading1"/>
        <w:keepNext/>
        <w:spacing w:after="140" w:before="320"/>
      </w:pPr>
      <w:r>
        <w:rPr>
          <w:b/>
          <w:bCs/>
          <w:color w:val="1F3864"/>
          <w:sz w:val="26"/>
          <w:szCs w:val="26"/>
        </w:rPr>
        <w:t xml:space="preserve">7. Avis global sur la qualité et la cohérence</w:t>
      </w:r>
    </w:p>
    <w:p>
      <w:pPr>
        <w:spacing w:after="120" w:before="0" w:line="276" w:lineRule="auto"/>
        <w:jc w:val="left"/>
      </w:pPr>
      <w:r>
        <w:rPr>
          <w:b/>
          <w:bCs/>
        </w:rPr>
        <w:t xml:space="preserve">Points forts. </w:t>
      </w:r>
      <w:r>
        <w:t xml:space="preserve">Le dossier est complet : chaque livrable demandé existe. Le fil conducteur est clair et suivi jusqu’au tableau de bord : la DST vieillit, donc vous choisissez surtout le scénario A, donc le plan commence par la DST. Les deux scénarios sont bien distincts et viennent du contexte. La grande majorité des chiffres est juste, et le plan comme le tableau de bord ont toutes les colonnes demandées. Après correction, la forme est propre.</w:t>
      </w:r>
    </w:p>
    <w:p>
      <w:pPr>
        <w:spacing w:after="120" w:before="0" w:line="276" w:lineRule="auto"/>
        <w:jc w:val="left"/>
      </w:pPr>
      <w:r>
        <w:rPr>
          <w:b/>
          <w:bCs/>
        </w:rPr>
        <w:t xml:space="preserve">Points faibles. </w:t>
      </w:r>
      <w:r>
        <w:t xml:space="preserve">Trois incohérences se voient facilement : les âges p. 10-11, les étiquettes entre les séances 2 et 3, et l’« Année 3 » du suivi. Le plan est trop court et ne couvre pas tous les besoins du scénario retenu. Le niveau des séances est inégal : la séance 1 est en notes, et certains zooms de la séance 3 n’ont pas de chiffres.</w:t>
      </w:r>
    </w:p>
    <w:p>
      <w:pPr>
        <w:pStyle w:val="Heading1"/>
        <w:keepNext/>
        <w:spacing w:after="140" w:before="320"/>
      </w:pPr>
      <w:r>
        <w:rPr>
          <w:b/>
          <w:bCs/>
          <w:color w:val="1F3864"/>
          <w:sz w:val="26"/>
          <w:szCs w:val="26"/>
        </w:rPr>
        <w:t xml:space="preserve">Avis final honnête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blHeader/>
        </w:trPr>
        <w:tc>
          <w:tcPr>
            <w:tcW w:type="dxa" w:w="2600"/>
            <w:tcBorders>
              <w:top w:val="single" w:color="999999" w:sz="4"/>
              <w:left w:val="single" w:color="999999" w:sz="4"/>
              <w:bottom w:val="single" w:color="999999" w:sz="4"/>
              <w:right w:val="single" w:color="999999" w:sz="4"/>
            </w:tcBorders>
            <w:shd w:fill="E7ECF4" w:color="auto" w:val="clear"/>
            <w:tcMar>
              <w:top w:type="dxa" w:w="60"/>
              <w:left w:type="dxa" w:w="90"/>
              <w:bottom w:type="dxa" w:w="60"/>
              <w:right w:type="dxa" w:w="90"/>
            </w:tcMar>
          </w:tcPr>
          <w:p>
            <w:pPr>
              <w:spacing w:after="40"/>
            </w:pPr>
            <w:r>
              <w:rPr>
                <w:b/>
                <w:bCs/>
                <w:sz w:val="19"/>
                <w:szCs w:val="19"/>
              </w:rPr>
              <w:t xml:space="preserve">Question</w:t>
            </w:r>
          </w:p>
        </w:tc>
        <w:tc>
          <w:tcPr>
            <w:tcW w:type="dxa" w:w="6426"/>
            <w:tcBorders>
              <w:top w:val="single" w:color="999999" w:sz="4"/>
              <w:left w:val="single" w:color="999999" w:sz="4"/>
              <w:bottom w:val="single" w:color="999999" w:sz="4"/>
              <w:right w:val="single" w:color="999999" w:sz="4"/>
            </w:tcBorders>
            <w:shd w:fill="E7ECF4" w:color="auto" w:val="clear"/>
            <w:tcMar>
              <w:top w:type="dxa" w:w="60"/>
              <w:left w:type="dxa" w:w="90"/>
              <w:bottom w:type="dxa" w:w="60"/>
              <w:right w:type="dxa" w:w="90"/>
            </w:tcMar>
          </w:tcPr>
          <w:p>
            <w:pPr>
              <w:spacing w:after="40"/>
            </w:pPr>
            <w:r>
              <w:rPr>
                <w:b/>
                <w:bCs/>
                <w:sz w:val="19"/>
                <w:szCs w:val="19"/>
              </w:rPr>
              <w:t xml:space="preserve">Réponse</w:t>
            </w:r>
          </w:p>
        </w:tc>
      </w:tr>
      <w:tr>
        <w:trPr>
          <w:cantSplit/>
        </w:trPr>
        <w:tc>
          <w:tcPr>
            <w:tcW w:type="dxa" w:w="2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Le dossier répond-il aux consignes ?</w:t>
            </w:r>
          </w:p>
        </w:tc>
        <w:tc>
          <w:tcPr>
            <w:tcW w:type="dxa" w:w="64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Oui pour la structure : toutes les parties demandées sont là. Mais plusieurs attentes ne sont remplies qu’en partie : métiers cœur et émergents de la cartographie, analyse des métiers critiques, plan peu détaillé, peu d’indicateurs de résultat.</w:t>
            </w:r>
          </w:p>
        </w:tc>
      </w:tr>
      <w:tr>
        <w:trPr>
          <w:cantSplit/>
        </w:trPr>
        <w:tc>
          <w:tcPr>
            <w:tcW w:type="dxa" w:w="2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Les cinq séances sont-elles cohérentes entre elles ?</w:t>
            </w:r>
          </w:p>
        </w:tc>
        <w:tc>
          <w:tcPr>
            <w:tcW w:type="dxa" w:w="64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Moyennement. Le fil DST / scénario A est bien suivi jusqu’à la séance 5. Mais il reste 3 incohérences visibles (âges, étiquettes, « Année 3 ») et 2 manques dans le plan (gestionnaires RH, techniciens et CVC).</w:t>
            </w:r>
          </w:p>
        </w:tc>
      </w:tr>
      <w:tr>
        <w:trPr>
          <w:cantSplit/>
        </w:trPr>
        <w:tc>
          <w:tcPr>
            <w:tcW w:type="dxa" w:w="2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Le raisonnement est-il logique ?</w:t>
            </w:r>
          </w:p>
        </w:tc>
        <w:tc>
          <w:tcPr>
            <w:tcW w:type="dxa" w:w="64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Oui dans l’ensemble : diagnostic, DST urgente, scénario A, plan qui commence par la DST, indicateurs. Le point faible est la justification du choix du scénario A, à renforcer avec votre propre argument.</w:t>
            </w:r>
          </w:p>
        </w:tc>
      </w:tr>
      <w:tr>
        <w:trPr>
          <w:cantSplit/>
        </w:trPr>
        <w:tc>
          <w:tcPr>
            <w:tcW w:type="dxa" w:w="2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Les deux scénarios sont-ils pertinents ?</w:t>
            </w:r>
          </w:p>
        </w:tc>
        <w:tc>
          <w:tcPr>
            <w:tcW w:type="dxa" w:w="64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Oui. Ils sont distincts (DST contre DR, rythme rapide contre progressif), réalistes et liés aux axes du maire. Limites : le scénario A ne parle que des bâtiments, et la relation usagers du scénario B n’a aucune action.</w:t>
            </w:r>
          </w:p>
        </w:tc>
      </w:tr>
      <w:tr>
        <w:trPr>
          <w:cantSplit/>
        </w:trPr>
        <w:tc>
          <w:tcPr>
            <w:tcW w:type="dxa" w:w="2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Le plan d’actions est-il adapté au diagnostic ?</w:t>
            </w:r>
          </w:p>
        </w:tc>
        <w:tc>
          <w:tcPr>
            <w:tcW w:type="dxa" w:w="64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En partie. Les actions sur les départs (liste, tutorat, permis PL), la mobilité et le budget formation répondent bien au diagnostic. Il manque le recrutement et l’attractivité à la DST, la formation CVC et les gestionnaires RH, et chaque action est trop peu détaillée.</w:t>
            </w:r>
          </w:p>
        </w:tc>
      </w:tr>
      <w:tr>
        <w:trPr>
          <w:cantSplit/>
        </w:trPr>
        <w:tc>
          <w:tcPr>
            <w:tcW w:type="dxa" w:w="2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Le tableau de bord permet-il de suivre les actions ?</w:t>
            </w:r>
          </w:p>
        </w:tc>
        <w:tc>
          <w:tcPr>
            <w:tcW w:type="dxa" w:w="64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Oui pour les actions : un indicateur par action, avec une valeur de départ, une alerte et un objectif. Moins pour les résultats (couverture des compétences, attractivité) et pour l’objectif d’agents formés. Certaines valeurs de départ sont des hypothèses.</w:t>
            </w:r>
          </w:p>
        </w:tc>
      </w:tr>
      <w:tr>
        <w:trPr>
          <w:cantSplit/>
        </w:trPr>
        <w:tc>
          <w:tcPr>
            <w:tcW w:type="dxa" w:w="2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Le dossier est-il assez abouti pour être rendu ?</w:t>
            </w:r>
          </w:p>
        </w:tc>
        <w:tc>
          <w:tcPr>
            <w:tcW w:type="dxa" w:w="64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Pas encore tout à fait. La forme est maintenant propre, mais il faut au minimum régler les 4 points de priorité 1, soit environ 1 à 2 heures de travail en groupe. Après cela, le dossier est présentable et défendable.</w:t>
            </w:r>
          </w:p>
        </w:tc>
      </w:tr>
    </w:tbl>
    <w:p>
      <w:pPr>
        <w:pStyle w:val="Heading1"/>
        <w:keepNext/>
        <w:spacing w:after="140" w:before="320"/>
      </w:pPr>
      <w:r>
        <w:rPr>
          <w:b/>
          <w:bCs/>
          <w:color w:val="1F3864"/>
          <w:sz w:val="26"/>
          <w:szCs w:val="26"/>
        </w:rPr>
        <w:t xml:space="preserve">Annexe : liste complète des modifications</w:t>
      </w:r>
    </w:p>
    <w:p>
      <w:pPr>
        <w:spacing w:after="120" w:before="0" w:line="276" w:lineRule="auto"/>
        <w:jc w:val="left"/>
      </w:pPr>
      <w:r>
        <w:t xml:space="preserve">Liste calculée en comparant votre PDF et le nouveau, mot à mot. La page est celle du nouveau dossier (18 pages). Le passage modifié est entre crochets.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4163"/>
        <w:gridCol w:w="4163"/>
      </w:tblGrid>
      <w:tr>
        <w:trPr>
          <w:cantSplit/>
          <w:tblHeader/>
        </w:trPr>
        <w:tc>
          <w:tcPr>
            <w:tcW w:type="dxa" w:w="700"/>
            <w:tcBorders>
              <w:top w:val="single" w:color="999999" w:sz="4"/>
              <w:left w:val="single" w:color="999999" w:sz="4"/>
              <w:bottom w:val="single" w:color="999999" w:sz="4"/>
              <w:right w:val="single" w:color="999999" w:sz="4"/>
            </w:tcBorders>
            <w:shd w:fill="E7ECF4" w:color="auto" w:val="clear"/>
            <w:tcMar>
              <w:top w:type="dxa" w:w="60"/>
              <w:left w:type="dxa" w:w="90"/>
              <w:bottom w:type="dxa" w:w="60"/>
              <w:right w:type="dxa" w:w="90"/>
            </w:tcMar>
          </w:tcPr>
          <w:p>
            <w:pPr>
              <w:spacing w:after="40"/>
            </w:pPr>
            <w:r>
              <w:rPr>
                <w:b/>
                <w:bCs/>
                <w:sz w:val="19"/>
                <w:szCs w:val="19"/>
              </w:rPr>
              <w:t xml:space="preserve">Page</w:t>
            </w:r>
          </w:p>
        </w:tc>
        <w:tc>
          <w:tcPr>
            <w:tcW w:type="dxa" w:w="4163"/>
            <w:tcBorders>
              <w:top w:val="single" w:color="999999" w:sz="4"/>
              <w:left w:val="single" w:color="999999" w:sz="4"/>
              <w:bottom w:val="single" w:color="999999" w:sz="4"/>
              <w:right w:val="single" w:color="999999" w:sz="4"/>
            </w:tcBorders>
            <w:shd w:fill="E7ECF4" w:color="auto" w:val="clear"/>
            <w:tcMar>
              <w:top w:type="dxa" w:w="60"/>
              <w:left w:type="dxa" w:w="90"/>
              <w:bottom w:type="dxa" w:w="60"/>
              <w:right w:type="dxa" w:w="90"/>
            </w:tcMar>
          </w:tcPr>
          <w:p>
            <w:pPr>
              <w:spacing w:after="40"/>
            </w:pPr>
            <w:r>
              <w:rPr>
                <w:b/>
                <w:bCs/>
                <w:sz w:val="19"/>
                <w:szCs w:val="19"/>
              </w:rPr>
              <w:t xml:space="preserve">Avant</w:t>
            </w:r>
          </w:p>
        </w:tc>
        <w:tc>
          <w:tcPr>
            <w:tcW w:type="dxa" w:w="4163"/>
            <w:tcBorders>
              <w:top w:val="single" w:color="999999" w:sz="4"/>
              <w:left w:val="single" w:color="999999" w:sz="4"/>
              <w:bottom w:val="single" w:color="999999" w:sz="4"/>
              <w:right w:val="single" w:color="999999" w:sz="4"/>
            </w:tcBorders>
            <w:shd w:fill="E7ECF4" w:color="auto" w:val="clear"/>
            <w:tcMar>
              <w:top w:type="dxa" w:w="60"/>
              <w:left w:type="dxa" w:w="90"/>
              <w:bottom w:type="dxa" w:w="60"/>
              <w:right w:type="dxa" w:w="90"/>
            </w:tcMar>
          </w:tcPr>
          <w:p>
            <w:pPr>
              <w:spacing w:after="40"/>
            </w:pPr>
            <w:r>
              <w:rPr>
                <w:b/>
                <w:bCs/>
                <w:sz w:val="19"/>
                <w:szCs w:val="19"/>
              </w:rPr>
              <w:t xml:space="preserve">Après</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1</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i/>
                <w:iCs/>
                <w:sz w:val="19"/>
                <w:szCs w:val="19"/>
              </w:rPr>
              <w:t xml:space="preserve">Majuscules en début de tiret ou de case</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contexte → Contexte ; ville → Ville ; pme → PME ; manque → Manque ; dst → DST ; decs → DECS ; dr → DR ; manque → Manque ; manque → Manque ; population → Population ; Risque → risque ; Population → population ; renforcement → Renforcement ; D'action → d'action</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1</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moyenne de 65k [d'habitant] ancien bassin</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moyenne de 65k [habitants ,] ancien bassin</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1</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ancien bassin industriel [-] d'industrie ,</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ancien bassin industriel [Moins] d'industrie ,</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1</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 d'industrie , [+] de pme</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 d'industrie , [plus] de pme</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1</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250 dr ) [age] moyen élevé</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250 dr ) [Âge] moyen élevé</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1</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manque de nouvelles [recrue mobilité] interne faible</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manque de nouvelles [recrues Mobilité] interne faible</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1</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l'avenir des projets [porté] par le</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l'avenir des projets [portés] par le</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1</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stratégiques : - [transition] écologique et</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stratégiques : - [- Transition] écologique et</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1</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y a 1 [ans] qui porte</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y a 1 [an] qui porte</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1</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 Risque de [difficulté à] la transition</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 Risque de [difficultés lors de] la transition</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1</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la transition pour [] DST :</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la transition pour [la] DST :</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1</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moyenne d'âge assez [haute] / Population</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moyenne d'âge assez [élevée] / Population</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1</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vieillissante = moins [habilités] aux tâches</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vieillissante = moins [habituée] aux tâches</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1</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services publics en [terme] de qualité</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services publics en [termes] de qualité</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1</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 sport , [asso] , événement</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 sport , [associations] , événement</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1</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 asso , [événement] , propreté</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 asso , [événements] , propreté</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1</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transition numérique implique [le fait] de devoir</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transition numérique implique [] de devoir</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1</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le fait de [devoir] former les</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le fait de [] former les</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1</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devoir former les [salariés] pour qu'ils</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devoir former les [agents] pour qu'ils</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1</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 Enjeux GEPP [] : -</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 Enjeux GEPP [( gestion des emplois et des parcours professionnels )] : -</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1</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Vieillissement de la [main d'oeuvre] dans les</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Vieillissement de la [main-d'œuvre] dans les</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1</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métiers d'ouvriers . [Evolution aux travails] avec l'arriver</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métiers d'ouvriers . [Évolution du travail] avec l'arriver</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1</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aux travails avec [l'arriver] de nouveaux</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aux travails avec [l'arrivée] de nouveaux</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1</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 Manque de [contrat CDI] Charge de</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 Manque de [postes stables : beaucoup de contrats précaires ( CDD )] Charge de</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1</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pour les RH [Evolution] de l'IA</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pour les RH [Évolution] de l'IA</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1</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Evolution de l'IA [] qui vont</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Evolution de l'IA [,] qui vont</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1</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de l'IA qui [vont] impacter des</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de l'IA qui [va] impacter des</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1</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qui vont impacter [des] métiers comme</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qui vont impacter [certains] métiers comme</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1</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impacter des métiers [comme] dans le</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impacter des métiers [, par exemple] dans le</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1</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métiers comme dans [le secteur de] la comptabilité</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métiers comme dans [] la comptabilité</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1</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comptabilité . Construction [d'une] plan D'action</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comptabilité . Construction [d'un] plan D'action</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2</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i/>
                <w:iCs/>
                <w:sz w:val="19"/>
                <w:szCs w:val="19"/>
              </w:rPr>
              <w:t xml:space="preserve">Majuscules en début de tiret ou de case</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Conducteurs → conducteurs ; Gestionnaires → gestionnaires</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2</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Renforcer la vie [local] et ameliorer</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Renforcer la vie [locale] et ameliorer</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2</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vie local et [ameliorer] le cadre</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vie local et [améliorer] le cadre</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2</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compétences en rénovation [énergetique] et gestions</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compétences en rénovation [énergétique] et gestions</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2</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rénovation énergetique et [gestions] de projets</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rénovation énergetique et [gestion] de projets</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2</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de projets de [traveaux] complexes en</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de projets de [travaux] complexes en</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2</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de la ville [Besoins] de renforcer</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de la ville [Besoin] de renforcer</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2</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Besoins de renforcer [l'attrictivité] de certains</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Besoins de renforcer [l'attractivité] de certains</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2</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l'attrictivité de certains [corps de métier chez les] jeunes (</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l'attrictivité de certains [métiers auprès des] jeunes (</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2</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poids lourds , [Tech] de maintenance</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poids lourds , [techniciens] de maintenance</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3</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i/>
                <w:iCs/>
                <w:sz w:val="19"/>
                <w:szCs w:val="19"/>
              </w:rPr>
              <w:t xml:space="preserve">Majuscules en début de tiret ou de case</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famille → Famille ; agents → Agents ; conducteurs → Conducteurs ; techniciens → Techniciens ; fonctions → Fonctions ; directeurs → Directeurs ; médiateurs → Médiateurs ; juristes → Juristes ; informaticiens → Informaticiens ; partie → Partie ; agent → Agent</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3</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schéma , carte [mental] … )</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schéma , carte [mentale] … )</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3</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Sport Ressources / [Administrations] Métier -</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Sport Ressources / [Administration] Métier -</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3</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 Ouvriers ( [coeur] / critiques</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 Ouvriers ( [cœur] / critiques</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3</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 - Maintenance [batiment] - agents</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 - Maintenance [bâtiment] - agents</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3</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 agents espaces [vert] - conducteurs</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 agents espaces [verts] - conducteurs</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3</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 techniciens / [ingénieur] ( émergents</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 techniciens / [ingénieurs] ( émergents</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3</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émergents ) - [encadrant] de proximité</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émergents ) - [Encadrants] de proximité</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3</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Animateurs périscolaires / [Extrascolaire] ( critiques</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Animateurs périscolaires / [extrascolaires] ( critiques</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3</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des écoles ( [coeur] ) -</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des écoles ( [cœur] ) -</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3</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de loisirs - [animateurs périscolaire] / extrascolaire</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de loisirs - [Animateurs périscolaires] / extrascolaire</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3</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animateurs périscolaire / [extrascolaire] ( critiques</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animateurs périscolaire / [extrascolaires] ( critiques</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3</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critiques ) - [bibliothécair es] ( critiques</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critiques ) - [Bibliothécaires] ( critiques</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3</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critiques ) - [educateur] sportifs -</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critiques ) - [Éducateurs] sportifs -</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3</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educateur sportifs - [encadrant] et responsable</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educateur sportifs - [Encadrants] et responsable</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3</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 encadrant et [responsable] de services</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 encadrant et [responsables] de services</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3</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de services - [gestionnaire assistant rh] ( critiques</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de services - [Gestionnaires / assistants RH] ( critiques</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3</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critiques ) - [gestionnaire budgétaire] / comptable</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critiques ) - [Gestionnaires budgétaires] / comptable</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3</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gestionnaire budgétaire / [comptable] - juristes</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gestionnaire budgétaire / [comptables] - juristes</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3</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critiques ) - [assistants administration] - chef</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critiques ) - [Assistants administratifs] - chef</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3</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assistants administration - [chef] de projet</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assistants administration - [Chefs] de projet</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3</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critiques ) Passerelles [] possibles entre</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critiques ) Passerelles [et parcours] possibles entre</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3</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partie 2 : [referentiel metier] : agent</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partie 2 : [Référentiel métier] : agent</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3</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des espaces verts [.] Description du</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des espaces verts [:] Description du</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4</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i/>
                <w:iCs/>
                <w:sz w:val="19"/>
                <w:szCs w:val="19"/>
              </w:rPr>
              <w:t xml:space="preserve">Majuscules en début de tiret ou de case</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technicien → Technicien ; description → Description</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5</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 Expert en [analyses] énergétique et</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 Expert en [analyse] énergétique et</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5</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gestion de projet [] Compétences techniques</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gestion de projet [Compétences du technicien de maintenance] Compétences techniques</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5</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est opérationnel à [maîtriser] dans les</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est opérationnel à [maîtrisé] dans les</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6</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Constat actuel : [L'organisation] fait face</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Constat actuel : [le métier] fait face</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6</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et équipements adaptés [( gestion écologique )] Autonome (</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et équipements adaptés [] Autonome (</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7</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i/>
                <w:iCs/>
                <w:sz w:val="19"/>
                <w:szCs w:val="19"/>
              </w:rPr>
              <w:t xml:space="preserve">Majuscules en début de tiret ou de case</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direction effectif âge → Direction Effectif Âge ; statut commentaire → Statut Commentaire ; forces → Forces ; faiblesses → Faiblesses ; savoir-faire → Savoir-faire ; compétences → Compétences ; opportunités → Opportunités ; menaces → Menaces ; formation → Formation ; départs → Départs</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7</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de projet Autonome [llB] . Sulayman</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de projet Autonome [B] . Sulayman</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7</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380 51 ans [15% contractual départ] à la</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380 51 ans [15 % contractuels Départs] à la</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7</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320 43 ans [28% contractuel] Fort renouvellement</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320 43 ans [28 % contractuels] Fort renouvellement</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7</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250 47 ans [16%contractuel] Départs sur</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250 47 ans [16 % contractuels] Départs sur</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7</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 juristes ) [] Techniques —</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 juristes ) [.] Techniques —</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7</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solide et expérimenté [] - Agents</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solide et expérimenté [.] - Agents</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7</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les conducteurs PL [] - compétences</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les conducteurs PL [.] - compétences</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7</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de 57 ans [] - Seule</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de 57 ans [.] - Seule</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7</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solde négatif ( [–] 4 agents</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solde négatif ( [-] 4 agents</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7</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par an ) [] - Vieillissement</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par an ) [.] - Vieillissement</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7</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 énergies renouvelables [] - Remplacements</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 énergies renouvelables [.] - Remplacements</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7</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 télégestion ) [] - formation</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 télégestion ) [.] - formation</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7</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en 5 ans [] - Seulement</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en 5 ans [.] - Seulement</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7</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de conducteur PL [] - départs</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de conducteur PL [.] - départs</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8</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i/>
                <w:iCs/>
                <w:sz w:val="19"/>
                <w:szCs w:val="19"/>
              </w:rPr>
              <w:t xml:space="preserve">Majuscules en début de tiret ou de case</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forces → Forces ; faiblesses → Faiblesses ; métiers → Métiers ; animateurs → Animateurs ; opportunités → Opportunités ; menaces → Menaces ; formation → Formation ; difficultés → Difficultés ; forces → Forces ; faiblesses → Faiblesses ; compétences → Compétences ; effectifs → Effectifs ; opportunités → Opportunités ; menaces → Menaces ; polyvalence → Polyvalence ; perte → Perte ; forces → Forces ; faiblesses → Faiblesses ; compétences → Compétences ; mobilité → Mobilité ; opportunités → Opportunités ; menaces → Menaces ; développement → Développement ; départs → Départs</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8</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 métiers indispensables [aux] services aux</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 métiers indispensables [pour les] services aux</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9</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agents . Les [principales difficultés] sont le</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agents . Les [principaux problèmes] sont le</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10</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i/>
                <w:iCs/>
                <w:sz w:val="19"/>
                <w:szCs w:val="19"/>
              </w:rPr>
              <w:t xml:space="preserve">Majuscules en début de tiret ou de case</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conducteurs → Conducteurs ; pyramide → Pyramide</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10</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notamment dans certains [corps] de métier</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notamment dans certains [métiers] de métier</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10</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certains corps de [métier appartenant à] cette direction</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certains corps de [] cette direction</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10</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à cette direction [] comme conducteurs</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à cette direction [,] comme conducteurs</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10</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cette direction comme [] conducteurs d'engins</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cette direction comme [les] conducteurs d'engins</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10</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comme conducteurs d'engins [ou] on peine</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comme conducteurs d'engins [, où] on peine</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10</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les projets de [rénovations] du maire</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les projets de [rénovation] du maire</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10</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nécessitent beaucoup de [main d'œuvre] notamment dans</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nécessitent beaucoup de [main-d'œuvre ,] notamment dans</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10</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notamment dans ce [corps de] métier .</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notamment dans ce [] métier .</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10</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 , bonne [choses] en liens</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 , bonne [chose] en liens</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10</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bonne choses en [liens] avec les</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bonne choses en [lien] avec les</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10</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vie du maire [] DR &gt;</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vie du maire [.] DR &gt;</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11</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la mobilité interne [,] la transmission</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la mobilité interne [et] la transmission</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11</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 perte de [savoir-faire] si la</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 perte de [compétences] si la</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12</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que c'est la [] direction qui</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que c'est la [seule] direction qui</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12</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direction qui perd [le plus d'agents] ( -</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direction qui perd [des agents] ( -</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12</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candidatures par poste [] . Scénario</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candidatures par poste [de conducteur PL] . Scénario</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13</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la DST sont [urgents] , tout</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la DST sont [le problème le plus urgent] , tout</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14</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l'accueil polyvalent ou [assistant] RH Formation</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l'accueil polyvalent ou [vers des postes d'assistant] RH Formation</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14</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Sécuriser les métiers [technique s] Public Moyens</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Sécuriser les métiers [techniques Numérique et usagers] Public Moyens</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14</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Public Moyens Quand [Pilote] DST SIRH</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Public Moyens Quand [] DST SIRH</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14</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DRH Transmettre les [savoirfaire] Agents de</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DRH Transmettre les [savoir-faire] Agents de</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14</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Année 2 DRH [Numériqu e et usagers] Former les</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Année 2 DRH [] Former les</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14</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Année 1 DRH [Numériqu e] et usagers</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Année 1 DRH [14 Pilote Axe Action Objectif Public Moyens Quand Pilote Numérique] et usagers</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15</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usagers Rendre les [] Moins de</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usagers Rendre les [postes d'informaticiens plus attractifs] Moins de</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15</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Moins de postes [postes d'informaticie] vacants ns</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Moins de postes [] vacants ns</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15</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postes d'informaticie vacants [ns plus attractifs Informaticie] Télétravail ns</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postes d'informaticie vacants [Informaticiens] Télétravail ns</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15</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attractifs Informaticie Télétravail [ns] , primes</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attractifs Informaticie Télétravail [] , primes</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15</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Année 2 DRH [Axe Action Objectif] Mobilité interne</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Année 2 DRH [] Mobilité interne</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15</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 aujourd'hui ) [] Mobilité interne</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 aujourd'hui ) [Tous les agents Intranet Année 1 DRH] Mobilité interne</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15</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animateurs en CDD [Outiller la GEPP Outiller la GEPP Public Moyens Quand Pilote Tous les agents Intranet Année 1 DRH] Les fidéliser</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animateurs en CDD [] Les fidéliser</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15</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Année 3 DECS [] Revoir le</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Année 3 DECS [Outiller la GEPP] Revoir le</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15</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 , plus [de] métiers en</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 , plus [pour les] métiers en</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15</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Année 1 DRH [] Suivre le</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Année 1 DRH [Outiller la GEPP] Suivre le</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15</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chaque année Direction [] Réunion annuelle</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chaque année Direction [générale] Réunion annuelle</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15</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coûtent peu ( [tutorat ,] offres en</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coûtent peu ( [] offres en</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16</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tableau de bord [suit] le plan</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tableau de bord [reprend] le plan</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16</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quatre portent sur [] la DST</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quatre portent sur [le scénario A ( surtout] la DST</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16</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sur la DST [] , deux</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sur la DST [)] , deux</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16</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 Chaque indicateur [suit] une action</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 Chaque indicateur [correspond à] une action</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16</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plan et part [] d'un chiffre</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plan et part [, quand c'est possible ,] d'un chiffre</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16</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170 agents ) [] PL :</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170 agents ) [Conducteurs] PL :</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16</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 36 % [] RH :</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 36 % [Gestionnaires] RH :</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16</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la DST ( [] PL et</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la DST ( [conducteurs] PL et</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16</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 pour les [] PL et</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 pour les [conducteurs] PL et</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16</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agents Nombre d'agents [qui ont eu] le permis</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agents Nombre d'agents [dont] le permis</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16</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le permis PL [] payé par</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le permis PL [a été] payé par</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17</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 les alertes [] sont toutes</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 les alertes [déjà visibles] sont toutes</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17</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les alertes sont [toutes] à la</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les alertes sont [] à la</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17</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par an , [aucun binôme] ) ,</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par an , [pas encore de binômes] ) ,</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17</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 ce qui [confirme] notre choix</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 ce qui [va dans le sens de] notre choix</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17</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à la direction [] pendant la</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à la direction [générale] pendant la</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17</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on revoit l'action [qui va avec] . Conclusion</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on revoit l'action [correspondante] . Conclusion</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18</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par an . [Des] métiers sont</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par an . [Plusieurs] métiers sont</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18</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Des métiers sont [difficiles à recruter] ( conducteurs</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Des métiers sont [en tension] ( conducteurs</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18</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PL , techniciens [] , informaticiens</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PL , techniciens [de maintenance] , informaticiens</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18</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techniciens , informaticiens [] ) et</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techniciens , informaticiens [, gestionnaires RH] ) et</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18</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parce que la [] DST est</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parce que la [situation de la] DST est</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18</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par la DST [] et par</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par la DST [( liste des départs , tutorat )] et par</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18</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coûtent peu ( [tutorat ,] offres en</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coûtent peu ( [] offres en</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18</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si les actions [marchent] .</w:t>
            </w:r>
          </w:p>
        </w:tc>
        <w:tc>
          <w:tcPr>
            <w:tcW w:type="dxa" w:w="416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b w:val="false"/>
                <w:bCs w:val="false"/>
                <w:sz w:val="19"/>
                <w:szCs w:val="19"/>
              </w:rPr>
              <w:t xml:space="preserve">si les actions [fonctionnent] .</w:t>
            </w:r>
          </w:p>
        </w:tc>
      </w:tr>
    </w:tbl>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Bilan de relecture – Groupe 2 –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1F3864"/>
      <w:sz w:val="26"/>
      <w:szCs w:val="26"/>
    </w:rPr>
  </w:style>
  <w:style w:type="paragraph" w:styleId="Heading2">
    <w:name w:val="Heading 2"/>
    <w:basedOn w:val="Normal"/>
    <w:next w:val="Normal"/>
    <w:qFormat/>
    <w:pPr>
      <w:outlineLvl w:val="1"/>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Bilan de relecture – Dossier GEPP Groupe 2</dc:title>
  <dc:creator>Relecture – Groupe 2</dc:creator>
  <cp:lastModifiedBy>Un-named</cp:lastModifiedBy>
  <cp:revision>1</cp:revision>
  <dcterms:created xsi:type="dcterms:W3CDTF">2026-10-31T15:25:44.935Z</dcterms:created>
  <dcterms:modified xsi:type="dcterms:W3CDTF">2026-10-31T15:25:44.936Z</dcterms:modified>
</cp:coreProperties>
</file>

<file path=docProps/custom.xml><?xml version="1.0" encoding="utf-8"?>
<Properties xmlns="http://schemas.openxmlformats.org/officeDocument/2006/custom-properties" xmlns:vt="http://schemas.openxmlformats.org/officeDocument/2006/docPropsVTypes"/>
</file>