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200" w:after="80"/>
        <w:jc w:val="center"/>
      </w:pPr>
      <w:r>
        <w:rPr>
          <w:rFonts w:ascii="Arial" w:cs="Arial" w:eastAsia="Arial" w:hAnsi="Arial"/>
          <w:b/>
          <w:bCs/>
          <w:color w:val="1F4E79"/>
          <w:sz w:val="48"/>
          <w:szCs w:val="48"/>
        </w:rPr>
        <w:t xml:space="preserve">CODE REVIEW REPORT</w:t>
      </w:r>
    </w:p>
    <w:p>
      <w:pPr>
        <w:spacing w:before="60" w:after="60"/>
        <w:jc w:val="center"/>
      </w:pPr>
      <w:r>
        <w:rPr>
          <w:rFonts w:ascii="Arial" w:cs="Arial" w:eastAsia="Arial" w:hAnsi="Arial"/>
          <w:color w:val="2E75B6"/>
          <w:sz w:val="32"/>
          <w:szCs w:val="32"/>
        </w:rPr>
        <w:t xml:space="preserve">PLOS Dyslexia Risk Prediction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Paper Reference: Rello et al., PLOS ONE 15(12), 2020</w:t>
            </w:r>
          </w:p>
          <w:p>
            <w:pPr>
              <w:jc w:val="center"/>
            </w:pPr>
            <w:r>
              <w:rPr>
                <w:rFonts w:ascii="Arial" w:cs="Arial" w:eastAsia="Arial" w:hAnsi="Arial"/>
                <w:color w:val="555555"/>
                <w:sz w:val="20"/>
                <w:szCs w:val="20"/>
              </w:rPr>
              <w:t xml:space="preserve">Reviewer: Claude AI Code Review   |   Date: March 2026</w:t>
            </w:r>
          </w:p>
        </w:tc>
      </w:tr>
    </w:tbl>
    <w:p>
      <w:pPr>
        <w:spacing w:before="60" w:after="60"/>
      </w:pPr>
      <w:r>
        <w:t xml:space="preserve"/>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1. Executive Summary</w:t>
      </w:r>
    </w:p>
    <w:p>
      <w:pPr>
        <w:spacing w:before="60" w:after="60" w:line="276"/>
      </w:pPr>
      <w:r>
        <w:rPr>
          <w:rFonts w:ascii="Arial" w:cs="Arial" w:eastAsia="Arial" w:hAnsi="Arial"/>
          <w:sz w:val="22"/>
          <w:szCs w:val="22"/>
        </w:rPr>
        <w:t xml:space="preserve">This report provides a structured review of the PLOS dyslexia risk prediction model codebase. The project implements a machine learning pipeline to screen children aged 7-17 for dyslexia risk using performance data from a 32-question gamified online test, based on a peer-reviewed paper published in PLOS ONE (2020).</w:t>
      </w:r>
    </w:p>
    <w:p>
      <w:pPr>
        <w:spacing w:before="60" w:after="60"/>
      </w:pPr>
      <w:r>
        <w:t xml:space="preserve"/>
      </w:r>
    </w:p>
    <w:p>
      <w:pPr>
        <w:spacing w:before="60" w:after="60" w:line="276"/>
      </w:pPr>
      <w:r>
        <w:rPr>
          <w:rFonts w:ascii="Arial" w:cs="Arial" w:eastAsia="Arial" w:hAnsi="Arial"/>
          <w:sz w:val="22"/>
          <w:szCs w:val="22"/>
        </w:rPr>
        <w:t xml:space="preserve">Overall, this is a well-organized, scientifically grounded project. The code is clean, modular, and faithfully replicates the paper's methodology. The sections below cover strengths, issues, and a detailed future enhancement roadmap.</w:t>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2. Overall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Clean, readable, and well-commented throughout</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Scientific Fidelity</w:t>
            </w:r>
          </w:p>
        </w:tc>
        <w:tc>
          <w:tcPr>
            <w:tcW w:type="dxa" w:w="1200"/>
            <w:tcBorders>
              <w:top w:val="single" w:color="CCCCCC" w:sz="1"/>
              <w:left w:val="single" w:color="CCCCCC" w:sz="1"/>
              <w:bottom w:val="single" w:color="CCCCCC" w:sz="1"/>
              <w:right w:val="single" w:color="CCCCCC" w:sz="1"/>
            </w:tcBorders>
            <w:shd w:fill="21734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Closely replicates all published paper results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Reproducibility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Notebook is self-contained and easy to run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Documentation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README is excellent; inline comments could be richer</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Model Robustness</w:t>
            </w:r>
          </w:p>
        </w:tc>
        <w:tc>
          <w:tcPr>
            <w:tcW w:type="dxa" w:w="120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Threshold logic needs more rigorous justification</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Production Readiness</w:t>
            </w:r>
          </w:p>
        </w:tc>
        <w:tc>
          <w:tcPr>
            <w:tcW w:type="dxa" w:w="1200"/>
            <w:tcBorders>
              <w:top w:val="single" w:color="CCCCCC" w:sz="1"/>
              <w:left w:val="single" w:color="CCCCCC" w:sz="1"/>
              <w:bottom w:val="single" w:color="CCCCCC" w:sz="1"/>
              <w:right w:val="single" w:color="CCCCCC" w:sz="1"/>
            </w:tcBorders>
            <w:shd w:fill="BF8F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Missing input validation, logging, error handling</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Future Scalability</w:t>
            </w:r>
          </w:p>
        </w:tc>
        <w:tc>
          <w:tcPr>
            <w:tcW w:type="dxa" w:w="120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 / 5</w:t>
            </w:r>
          </w:p>
        </w:tc>
        <w:tc>
          <w:tcPr>
            <w:tcW w:type="dxa" w:w="5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Significant room to grow in generalizability</w:t>
            </w:r>
          </w:p>
        </w:tc>
      </w:tr>
    </w:tbl>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3. Strengths</w:t>
      </w:r>
    </w:p>
    <w:p>
      <w:pPr>
        <w:pStyle w:val="Heading2"/>
        <w:spacing w:before="280" w:after="120"/>
      </w:pPr>
      <w:r>
        <w:rPr>
          <w:rFonts w:ascii="Arial" w:cs="Arial" w:eastAsia="Arial" w:hAnsi="Arial"/>
          <w:b/>
          <w:bCs/>
          <w:color w:val="2E75B6"/>
          <w:sz w:val="26"/>
          <w:szCs w:val="26"/>
        </w:rPr>
        <w:t xml:space="preserve">3.1  Scientific Faithfulness</w:t>
      </w:r>
    </w:p>
    <w:p>
      <w:pPr>
        <w:spacing w:before="60" w:after="60" w:line="276"/>
      </w:pPr>
      <w:r>
        <w:rPr>
          <w:rFonts w:ascii="Arial" w:cs="Arial" w:eastAsia="Arial" w:hAnsi="Arial"/>
          <w:sz w:val="22"/>
          <w:szCs w:val="22"/>
        </w:rPr>
        <w:t xml:space="preserve">The notebook closely replicates all core experiments from the paper: 10-fold cross-validation, age-subset analysis, tablet robustness test, and feature importance analysis. Results match published numbers to within a fraction of a percent, which is strong evidence of methodological rigor.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3.2  Code Structure and Modularity</w:t>
      </w:r>
    </w:p>
    <w:p>
      <w:pPr>
        <w:spacing w:before="60" w:after="60" w:line="276"/>
      </w:pPr>
      <w:r>
        <w:rPr>
          <w:rFonts w:ascii="Arial" w:cs="Arial" w:eastAsia="Arial" w:hAnsi="Arial"/>
          <w:sz w:val="22"/>
          <w:szCs w:val="22"/>
        </w:rPr>
        <w:t xml:space="preserve">The pipeline is organized into clearly separated sections. Helper functions like load_and_preprocess(), prepare_xy(), evaluate_at_threshold(), and find_balanced_threshold() are well-named and reusable, making the codebase easy to follow, test, and extend.</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3.3  Clinically Appropriate Threshold</w:t>
      </w:r>
    </w:p>
    <w:p>
      <w:pPr>
        <w:spacing w:before="60" w:after="60" w:line="276"/>
      </w:pPr>
      <w:r>
        <w:rPr>
          <w:rFonts w:ascii="Arial" w:cs="Arial" w:eastAsia="Arial" w:hAnsi="Arial"/>
          <w:sz w:val="22"/>
          <w:szCs w:val="22"/>
        </w:rPr>
        <w:t xml:space="preserve">Rather than using the default 0.5 classification threshold, a balanced threshold (~0.24) is implemented that equates the cost of false negatives (missing a dyslexic child) with false positives (flagging a healthy child unnecessarily). This is a clinically sound and well-justified design decision.</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3.4  Rich Model Package</w:t>
      </w:r>
    </w:p>
    <w:p>
      <w:pPr>
        <w:spacing w:before="60" w:after="60" w:line="276"/>
      </w:pPr>
      <w:r>
        <w:rPr>
          <w:rFonts w:ascii="Arial" w:cs="Arial" w:eastAsia="Arial" w:hAnsi="Arial"/>
          <w:sz w:val="22"/>
          <w:szCs w:val="22"/>
        </w:rPr>
        <w:t xml:space="preserve">The exported plos-model.joblib bundles the model, threshold, feature names, encoding maps, class labels, and training metadata together. This is excellent production practice - the consuming team does not need to hardcode any configuration separately.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3.5  Developer-Friendly README</w:t>
      </w:r>
    </w:p>
    <w:p>
      <w:pPr>
        <w:spacing w:before="60" w:after="60" w:line="276"/>
      </w:pPr>
      <w:r>
        <w:rPr>
          <w:rFonts w:ascii="Arial" w:cs="Arial" w:eastAsia="Arial" w:hAnsi="Arial"/>
          <w:sz w:val="22"/>
          <w:szCs w:val="22"/>
        </w:rPr>
        <w:t xml:space="preserve">The README covers quick-start instructions, the full 196-feature schema, API response format suggestions, risk level mapping, and missing data handling. This level of documentation is often absent in academic code releases.</w:t>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4. Issues and Improvements Needed</w:t>
      </w:r>
    </w:p>
    <w:p>
      <w:pPr>
        <w:pStyle w:val="Heading2"/>
        <w:spacing w:before="280" w:after="120"/>
      </w:pPr>
      <w:r>
        <w:rPr>
          <w:rFonts w:ascii="Arial" w:cs="Arial" w:eastAsia="Arial" w:hAnsi="Arial"/>
          <w:b/>
          <w:bCs/>
          <w:color w:val="2E75B6"/>
          <w:sz w:val="26"/>
          <w:szCs w:val="26"/>
        </w:rPr>
        <w:t xml:space="preserve">4.1  No Input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Severity: Medium</w:t>
            </w:r>
          </w:p>
          <w:p>
            <w:pPr>
              <w:spacing w:before="40" w:after="40"/>
            </w:pPr>
            <w:r>
              <w:rPr>
                <w:rFonts w:ascii="Arial" w:cs="Arial" w:eastAsia="Arial" w:hAnsi="Arial"/>
                <w:sz w:val="21"/>
                <w:szCs w:val="21"/>
              </w:rPr>
              <w:t xml:space="preserve">The inference code assumes the input is always a correctly-shaped array of 196 numeric features. If a web form submits missing columns, wrong data types, or extra fields, the model will silently fail or return a nonsensical result with no error message.</w:t>
            </w:r>
          </w:p>
        </w:tc>
      </w:tr>
    </w:tbl>
    <w:p>
      <w:pPr>
        <w:spacing w:before="60" w:after="60"/>
      </w:pPr>
      <w:r>
        <w:t xml:space="preserve"/>
      </w:r>
    </w:p>
    <w:p>
      <w:pPr>
        <w:spacing w:before="200" w:after="80"/>
      </w:pPr>
      <w:r>
        <w:rPr>
          <w:rFonts w:ascii="Arial" w:cs="Arial" w:eastAsia="Arial" w:hAnsi="Arial"/>
          <w:b/>
          <w:bCs/>
          <w:color w:val="404040"/>
          <w:sz w:val="24"/>
          <w:szCs w:val="24"/>
        </w:rPr>
        <w:t xml:space="preserve">Recommended fixes:</w:t>
      </w:r>
    </w:p>
    <w:p>
      <w:pPr>
        <w:pStyle w:val="ListParagraph"/>
        <w:numPr>
          <w:ilvl w:val="0"/>
          <w:numId w:val="2"/>
        </w:numPr>
        <w:spacing w:before="50" w:after="50"/>
      </w:pPr>
      <w:r>
        <w:rPr>
          <w:rFonts w:ascii="Arial" w:cs="Arial" w:eastAsia="Arial" w:hAnsi="Arial"/>
          <w:sz w:val="22"/>
          <w:szCs w:val="22"/>
        </w:rPr>
        <w:t xml:space="preserve">Add a validate_input() function checking input shape, feature names, and value ranges before calling predict_proba()</w:t>
      </w:r>
    </w:p>
    <w:p>
      <w:pPr>
        <w:pStyle w:val="ListParagraph"/>
        <w:numPr>
          <w:ilvl w:val="0"/>
          <w:numId w:val="2"/>
        </w:numPr>
        <w:spacing w:before="50" w:after="50"/>
      </w:pPr>
      <w:r>
        <w:rPr>
          <w:rFonts w:ascii="Arial" w:cs="Arial" w:eastAsia="Arial" w:hAnsi="Arial"/>
          <w:sz w:val="22"/>
          <w:szCs w:val="22"/>
        </w:rPr>
        <w:t xml:space="preserve">Raise clear errors such as 'Missing feature: Hits7' rather than cryptic numpy/sklearn exceptions</w:t>
      </w:r>
    </w:p>
    <w:p>
      <w:pPr>
        <w:pStyle w:val="ListParagraph"/>
        <w:numPr>
          <w:ilvl w:val="0"/>
          <w:numId w:val="2"/>
        </w:numPr>
        <w:spacing w:before="50" w:after="50"/>
      </w:pPr>
      <w:r>
        <w:rPr>
          <w:rFonts w:ascii="Arial" w:cs="Arial" w:eastAsia="Arial" w:hAnsi="Arial"/>
          <w:sz w:val="22"/>
          <w:szCs w:val="22"/>
        </w:rPr>
        <w:t xml:space="preserve">Clamp Age to the valid range of 7-17 and binary fields to 0/1 before inference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4.2  Threshold Computed on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Severity: Medium</w:t>
            </w:r>
          </w:p>
          <w:p>
            <w:pPr>
              <w:spacing w:before="40" w:after="40"/>
            </w:pPr>
            <w:r>
              <w:rPr>
                <w:rFonts w:ascii="Arial" w:cs="Arial" w:eastAsia="Arial" w:hAnsi="Arial"/>
                <w:sz w:val="21"/>
                <w:szCs w:val="21"/>
              </w:rPr>
              <w:t xml:space="preserve">The optimal threshold is found using full-training-set predictions - the same data the model was trained on. This makes the threshold slightly overfit and optimistic, rather than reflecting true unseen-data performance.</w:t>
            </w:r>
          </w:p>
        </w:tc>
      </w:tr>
    </w:tbl>
    <w:p>
      <w:pPr>
        <w:spacing w:before="60" w:after="60"/>
      </w:pPr>
      <w:r>
        <w:t xml:space="preserve"/>
      </w:r>
    </w:p>
    <w:p>
      <w:pPr>
        <w:spacing w:before="200" w:after="80"/>
      </w:pPr>
      <w:r>
        <w:rPr>
          <w:rFonts w:ascii="Arial" w:cs="Arial" w:eastAsia="Arial" w:hAnsi="Arial"/>
          <w:b/>
          <w:bCs/>
          <w:color w:val="404040"/>
          <w:sz w:val="24"/>
          <w:szCs w:val="24"/>
        </w:rPr>
        <w:t xml:space="preserve">Recommended fix:</w:t>
      </w:r>
    </w:p>
    <w:p>
      <w:pPr>
        <w:pStyle w:val="ListParagraph"/>
        <w:numPr>
          <w:ilvl w:val="0"/>
          <w:numId w:val="2"/>
        </w:numPr>
        <w:spacing w:before="50" w:after="50"/>
      </w:pPr>
      <w:r>
        <w:rPr>
          <w:rFonts w:ascii="Arial" w:cs="Arial" w:eastAsia="Arial" w:hAnsi="Arial"/>
          <w:sz w:val="22"/>
          <w:szCs w:val="22"/>
        </w:rPr>
        <w:t xml:space="preserve">Use only out-of-fold predictions from the cross-validation loop (y_prob_oof) for threshold tuning - this data is already produced in the notebook</w:t>
      </w:r>
    </w:p>
    <w:p>
      <w:pPr>
        <w:pStyle w:val="ListParagraph"/>
        <w:numPr>
          <w:ilvl w:val="0"/>
          <w:numId w:val="2"/>
        </w:numPr>
        <w:spacing w:before="50" w:after="50"/>
      </w:pPr>
      <w:r>
        <w:rPr>
          <w:rFonts w:ascii="Arial" w:cs="Arial" w:eastAsia="Arial" w:hAnsi="Arial"/>
          <w:sz w:val="22"/>
          <w:szCs w:val="22"/>
        </w:rPr>
        <w:t xml:space="preserve">This is a small, low-effort code change with a meaningful impact on threshold reliability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4.3  No Logging or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Severity: Low-Medium</w:t>
            </w:r>
          </w:p>
          <w:p>
            <w:pPr>
              <w:spacing w:before="40" w:after="40"/>
            </w:pPr>
            <w:r>
              <w:rPr>
                <w:rFonts w:ascii="Arial" w:cs="Arial" w:eastAsia="Arial" w:hAnsi="Arial"/>
                <w:sz w:val="21"/>
                <w:szCs w:val="21"/>
              </w:rPr>
              <w:t xml:space="preserve">The inference example prints to stdout only. In a deployed web API there is no structured logging of predictions, probabilities, or input summaries - making debugging and clinical auditing difficult.</w:t>
            </w:r>
          </w:p>
        </w:tc>
      </w:tr>
    </w:tbl>
    <w:p>
      <w:pPr>
        <w:spacing w:before="60" w:after="60"/>
      </w:pPr>
      <w:r>
        <w:t xml:space="preserve"/>
      </w:r>
    </w:p>
    <w:p>
      <w:pPr>
        <w:spacing w:before="200" w:after="80"/>
      </w:pPr>
      <w:r>
        <w:rPr>
          <w:rFonts w:ascii="Arial" w:cs="Arial" w:eastAsia="Arial" w:hAnsi="Arial"/>
          <w:b/>
          <w:bCs/>
          <w:color w:val="404040"/>
          <w:sz w:val="24"/>
          <w:szCs w:val="24"/>
        </w:rPr>
        <w:t xml:space="preserve">Recommended fix:</w:t>
      </w:r>
    </w:p>
    <w:p>
      <w:pPr>
        <w:pStyle w:val="ListParagraph"/>
        <w:numPr>
          <w:ilvl w:val="0"/>
          <w:numId w:val="2"/>
        </w:numPr>
        <w:spacing w:before="50" w:after="50"/>
      </w:pPr>
      <w:r>
        <w:rPr>
          <w:rFonts w:ascii="Arial" w:cs="Arial" w:eastAsia="Arial" w:hAnsi="Arial"/>
          <w:sz w:val="22"/>
          <w:szCs w:val="22"/>
        </w:rPr>
        <w:t xml:space="preserve">Add structured logging to record each prediction with timestamp, age group, and probability score</w:t>
      </w:r>
    </w:p>
    <w:p>
      <w:pPr>
        <w:pStyle w:val="ListParagraph"/>
        <w:numPr>
          <w:ilvl w:val="0"/>
          <w:numId w:val="2"/>
        </w:numPr>
        <w:spacing w:before="50" w:after="50"/>
      </w:pPr>
      <w:r>
        <w:rPr>
          <w:rFonts w:ascii="Arial" w:cs="Arial" w:eastAsia="Arial" w:hAnsi="Arial"/>
          <w:sz w:val="22"/>
          <w:szCs w:val="22"/>
        </w:rPr>
        <w:t xml:space="preserve">Log feature value summaries (mean, missing count) per request to detect data quality drift over time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4.4  Age-Group Models Not Exported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Severity: Low</w:t>
            </w:r>
          </w:p>
          <w:p>
            <w:pPr>
              <w:spacing w:before="40" w:after="40"/>
            </w:pPr>
            <w:r>
              <w:rPr>
                <w:rFonts w:ascii="Arial" w:cs="Arial" w:eastAsia="Arial" w:hAnsi="Arial"/>
                <w:sz w:val="21"/>
                <w:szCs w:val="21"/>
              </w:rPr>
              <w:t xml:space="preserve">The notebook trains age-customized models for the tablet robustness test but does not export them. If the platform serves tablet or mobile users, only the generic desktop model is available, missing the accuracy gains that age-stratified models provide.</w:t>
            </w:r>
          </w:p>
        </w:tc>
      </w:tr>
    </w:tbl>
    <w:p>
      <w:pPr>
        <w:spacing w:before="60" w:after="60"/>
      </w:pPr>
      <w:r>
        <w:t xml:space="preserve"/>
      </w:r>
    </w:p>
    <w:p>
      <w:pPr>
        <w:spacing w:before="200" w:after="80"/>
      </w:pPr>
      <w:r>
        <w:rPr>
          <w:rFonts w:ascii="Arial" w:cs="Arial" w:eastAsia="Arial" w:hAnsi="Arial"/>
          <w:b/>
          <w:bCs/>
          <w:color w:val="404040"/>
          <w:sz w:val="24"/>
          <w:szCs w:val="24"/>
        </w:rPr>
        <w:t xml:space="preserve">Recommended fix:</w:t>
      </w:r>
    </w:p>
    <w:p>
      <w:pPr>
        <w:pStyle w:val="ListParagraph"/>
        <w:numPr>
          <w:ilvl w:val="0"/>
          <w:numId w:val="2"/>
        </w:numPr>
        <w:spacing w:before="50" w:after="50"/>
      </w:pPr>
      <w:r>
        <w:rPr>
          <w:rFonts w:ascii="Arial" w:cs="Arial" w:eastAsia="Arial" w:hAnsi="Arial"/>
          <w:sz w:val="22"/>
          <w:szCs w:val="22"/>
        </w:rPr>
        <w:t xml:space="preserve">Export separate model packages for each age group: 7-8, 9-11, and 12-17</w:t>
      </w:r>
    </w:p>
    <w:p>
      <w:pPr>
        <w:pStyle w:val="ListParagraph"/>
        <w:numPr>
          <w:ilvl w:val="0"/>
          <w:numId w:val="2"/>
        </w:numPr>
        <w:spacing w:before="50" w:after="50"/>
      </w:pPr>
      <w:r>
        <w:rPr>
          <w:rFonts w:ascii="Arial" w:cs="Arial" w:eastAsia="Arial" w:hAnsi="Arial"/>
          <w:sz w:val="22"/>
          <w:szCs w:val="22"/>
        </w:rPr>
        <w:t xml:space="preserve">Include the question/feature list for each age group inside the package so the web team knows which test questions to administer</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4.5  No Automated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Severity: Low</w:t>
            </w:r>
          </w:p>
          <w:p>
            <w:pPr>
              <w:spacing w:before="40" w:after="40"/>
            </w:pPr>
            <w:r>
              <w:rPr>
                <w:rFonts w:ascii="Arial" w:cs="Arial" w:eastAsia="Arial" w:hAnsi="Arial"/>
                <w:sz w:val="21"/>
                <w:szCs w:val="21"/>
              </w:rPr>
              <w:t xml:space="preserve">There are no unit or integration tests. A subtle bug introduced in encoding or feature ordering could silently degrade predictions without any alert.</w:t>
            </w:r>
          </w:p>
        </w:tc>
      </w:tr>
    </w:tbl>
    <w:p>
      <w:pPr>
        <w:spacing w:before="60" w:after="60"/>
      </w:pPr>
      <w:r>
        <w:t xml:space="preserve"/>
      </w:r>
    </w:p>
    <w:p>
      <w:pPr>
        <w:spacing w:before="200" w:after="80"/>
      </w:pPr>
      <w:r>
        <w:rPr>
          <w:rFonts w:ascii="Arial" w:cs="Arial" w:eastAsia="Arial" w:hAnsi="Arial"/>
          <w:b/>
          <w:bCs/>
          <w:color w:val="404040"/>
          <w:sz w:val="24"/>
          <w:szCs w:val="24"/>
        </w:rPr>
        <w:t xml:space="preserve">Recommended fix:</w:t>
      </w:r>
    </w:p>
    <w:p>
      <w:pPr>
        <w:pStyle w:val="ListParagraph"/>
        <w:numPr>
          <w:ilvl w:val="0"/>
          <w:numId w:val="2"/>
        </w:numPr>
        <w:spacing w:before="50" w:after="50"/>
      </w:pPr>
      <w:r>
        <w:rPr>
          <w:rFonts w:ascii="Arial" w:cs="Arial" w:eastAsia="Arial" w:hAnsi="Arial"/>
          <w:sz w:val="22"/>
          <w:szCs w:val="22"/>
        </w:rPr>
        <w:t xml:space="preserve">Add a pytest suite covering: encoding correctness, feature count (196), threshold range (0 to 1), and prediction output format</w:t>
      </w:r>
    </w:p>
    <w:p>
      <w:pPr>
        <w:pStyle w:val="ListParagraph"/>
        <w:numPr>
          <w:ilvl w:val="0"/>
          <w:numId w:val="2"/>
        </w:numPr>
        <w:spacing w:before="50" w:after="50"/>
      </w:pPr>
      <w:r>
        <w:rPr>
          <w:rFonts w:ascii="Arial" w:cs="Arial" w:eastAsia="Arial" w:hAnsi="Arial"/>
          <w:sz w:val="22"/>
          <w:szCs w:val="22"/>
        </w:rPr>
        <w:t xml:space="preserve">Especially important for load_and_preprocess() which handles flexible CSV separators</w:t>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5. Replication Results vs. Paper</w:t>
      </w:r>
    </w:p>
    <w:p>
      <w:pPr>
        <w:spacing w:before="60" w:after="60" w:line="276"/>
      </w:pPr>
      <w:r>
        <w:rPr>
          <w:rFonts w:ascii="Arial" w:cs="Arial" w:eastAsia="Arial" w:hAnsi="Arial"/>
          <w:sz w:val="22"/>
          <w:szCs w:val="22"/>
        </w:rPr>
        <w:t xml:space="preserve">The notebook successfully reproduces key metrics from Table 4 of the paper. Results for the main model (A1: ages 7-17):</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360"/>
        <w:gridCol w:w="18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Paper (Published)</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Reproduced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Match?</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Threshold</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0.240</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~0.116 - 0.240 *</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Recall (Dyslexia)</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80.6%</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~80%</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(Dyslexia)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ROC AUC</w:t>
            </w:r>
          </w:p>
        </w:tc>
        <w:tc>
          <w:tcPr>
            <w:tcW w:type="dxa" w:w="22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0.873</w:t>
            </w:r>
          </w:p>
        </w:tc>
        <w:tc>
          <w:tcPr>
            <w:tcW w:type="dxa" w:w="2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~0.869</w:t>
            </w:r>
          </w:p>
        </w:tc>
        <w:tc>
          <w:tcPr>
            <w:tcW w:type="dxa" w:w="1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Yes</w:t>
            </w:r>
          </w:p>
        </w:tc>
      </w:tr>
    </w:tbl>
    <w:p>
      <w:pPr>
        <w:spacing w:before="60" w:after="60"/>
      </w:pPr>
      <w:r>
        <w:t xml:space="preserve"/>
      </w:r>
    </w:p>
    <w:p>
      <w:pPr>
        <w:spacing w:before="60" w:after="60" w:line="276"/>
      </w:pPr>
      <w:r>
        <w:rPr>
          <w:rFonts w:ascii="Arial" w:cs="Arial" w:eastAsia="Arial" w:hAnsi="Arial"/>
          <w:i/>
          <w:iCs/>
          <w:color w:val="777777"/>
          <w:sz w:val="22"/>
          <w:szCs w:val="22"/>
        </w:rPr>
        <w:t xml:space="preserve">* The stored threshold (~0.116) differs from the paper's 0.24 due to the training-data threshold issue described in Section 4.2.</w:t>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6. Future Enhancements</w:t>
      </w:r>
    </w:p>
    <w:p>
      <w:pPr>
        <w:spacing w:before="60" w:after="60" w:line="276"/>
      </w:pPr>
      <w:r>
        <w:rPr>
          <w:rFonts w:ascii="Arial" w:cs="Arial" w:eastAsia="Arial" w:hAnsi="Arial"/>
          <w:sz w:val="22"/>
          <w:szCs w:val="22"/>
        </w:rPr>
        <w:t xml:space="preserve">Enhancements are grouped by implementation horizon. Together they represent a roadmap for evolving this project from an academic replication into a robust, scalable, and globally impactful screening product.</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6.1  Short-Term (1-3 months)</w:t>
      </w:r>
    </w:p>
    <w:p>
      <w:pPr>
        <w:spacing w:before="200" w:after="80"/>
      </w:pPr>
      <w:r>
        <w:rPr>
          <w:rFonts w:ascii="Arial" w:cs="Arial" w:eastAsia="Arial" w:hAnsi="Arial"/>
          <w:b/>
          <w:bCs/>
          <w:color w:val="404040"/>
          <w:sz w:val="24"/>
          <w:szCs w:val="24"/>
        </w:rPr>
        <w:t xml:space="preserve">Confidence Intervals on Predictions</w:t>
      </w:r>
    </w:p>
    <w:p>
      <w:pPr>
        <w:spacing w:before="60" w:after="60" w:line="276"/>
      </w:pPr>
      <w:r>
        <w:rPr>
          <w:rFonts w:ascii="Arial" w:cs="Arial" w:eastAsia="Arial" w:hAnsi="Arial"/>
          <w:sz w:val="22"/>
          <w:szCs w:val="22"/>
        </w:rPr>
        <w:t xml:space="preserve">Instead of a single probability, report a confidence interval using the variance across the 200 Random Forest trees. A wide interval signals model uncertainty - clinically important to communicate to parents before they act on a result.</w:t>
      </w:r>
    </w:p>
    <w:p>
      <w:pPr>
        <w:spacing w:before="60" w:after="60"/>
      </w:pPr>
      <w:r>
        <w:t xml:space="preserve"/>
      </w:r>
    </w:p>
    <w:p>
      <w:pPr>
        <w:spacing w:before="200" w:after="80"/>
      </w:pPr>
      <w:r>
        <w:rPr>
          <w:rFonts w:ascii="Arial" w:cs="Arial" w:eastAsia="Arial" w:hAnsi="Arial"/>
          <w:b/>
          <w:bCs/>
          <w:color w:val="404040"/>
          <w:sz w:val="24"/>
          <w:szCs w:val="24"/>
        </w:rPr>
        <w:t xml:space="preserve">SHAP Explainability Layer</w:t>
      </w:r>
    </w:p>
    <w:p>
      <w:pPr>
        <w:spacing w:before="60" w:after="60" w:line="276"/>
      </w:pPr>
      <w:r>
        <w:rPr>
          <w:rFonts w:ascii="Arial" w:cs="Arial" w:eastAsia="Arial" w:hAnsi="Arial"/>
          <w:sz w:val="22"/>
          <w:szCs w:val="22"/>
        </w:rPr>
        <w:t xml:space="preserve">Add SHAP (SHapley Additive exPlanations) values to each prediction. Rather than just 'Risk: 73%', the output could say 'Score mainly driven by low accuracy on letter discrimination (Q1-Q3) and syllable matching (Q7-Q9).' This directly guides educators on what to work on with the child.</w:t>
      </w:r>
    </w:p>
    <w:p>
      <w:pPr>
        <w:spacing w:before="60" w:after="60"/>
      </w:pPr>
      <w:r>
        <w:t xml:space="preserve"/>
      </w:r>
    </w:p>
    <w:p>
      <w:pPr>
        <w:spacing w:before="200" w:after="80"/>
      </w:pPr>
      <w:r>
        <w:rPr>
          <w:rFonts w:ascii="Arial" w:cs="Arial" w:eastAsia="Arial" w:hAnsi="Arial"/>
          <w:b/>
          <w:bCs/>
          <w:color w:val="404040"/>
          <w:sz w:val="24"/>
          <w:szCs w:val="24"/>
        </w:rPr>
        <w:t xml:space="preserve">Export Age-Group Models</w:t>
      </w:r>
    </w:p>
    <w:p>
      <w:pPr>
        <w:spacing w:before="60" w:after="60" w:line="276"/>
      </w:pPr>
      <w:r>
        <w:rPr>
          <w:rFonts w:ascii="Arial" w:cs="Arial" w:eastAsia="Arial" w:hAnsi="Arial"/>
          <w:sz w:val="22"/>
          <w:szCs w:val="22"/>
        </w:rPr>
        <w:t xml:space="preserve">Export and deploy separate models per age group as the paper recommends. Age-matched models outperform the universal model, especially for younger children where the 7-8 year group currently lags at only 69.2% accuracy.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6.2  Medium-Term (3-9 months)</w:t>
      </w:r>
    </w:p>
    <w:p>
      <w:pPr>
        <w:spacing w:before="200" w:after="80"/>
      </w:pPr>
      <w:r>
        <w:rPr>
          <w:rFonts w:ascii="Arial" w:cs="Arial" w:eastAsia="Arial" w:hAnsi="Arial"/>
          <w:b/>
          <w:bCs/>
          <w:color w:val="404040"/>
          <w:sz w:val="24"/>
          <w:szCs w:val="24"/>
        </w:rPr>
        <w:t xml:space="preserve">Multi-Language Support</w:t>
      </w:r>
    </w:p>
    <w:p>
      <w:pPr>
        <w:spacing w:before="60" w:after="60" w:line="276"/>
      </w:pPr>
      <w:r>
        <w:rPr>
          <w:rFonts w:ascii="Arial" w:cs="Arial" w:eastAsia="Arial" w:hAnsi="Arial"/>
          <w:sz w:val="22"/>
          <w:szCs w:val="22"/>
        </w:rPr>
        <w:t xml:space="preserve">The model was trained exclusively on Spanish-speaking children. Extending to Arabic, French, or English would dramatically broaden impact. The ML pipeline is already in place; what is needed are new linguistic exercise designs per language. Transfer learning from the Spanish model could reduce the new training data required per language from thousands to hundreds of participants.</w:t>
      </w:r>
    </w:p>
    <w:p>
      <w:pPr>
        <w:spacing w:before="60" w:after="60"/>
      </w:pPr>
      <w:r>
        <w:t xml:space="preserve"/>
      </w:r>
    </w:p>
    <w:p>
      <w:pPr>
        <w:spacing w:before="200" w:after="80"/>
      </w:pPr>
      <w:r>
        <w:rPr>
          <w:rFonts w:ascii="Arial" w:cs="Arial" w:eastAsia="Arial" w:hAnsi="Arial"/>
          <w:b/>
          <w:bCs/>
          <w:color w:val="404040"/>
          <w:sz w:val="24"/>
          <w:szCs w:val="24"/>
        </w:rPr>
        <w:t xml:space="preserve">Adaptive Test with Early Stopping</w:t>
      </w:r>
    </w:p>
    <w:p>
      <w:pPr>
        <w:spacing w:before="60" w:after="60" w:line="276"/>
      </w:pPr>
      <w:r>
        <w:rPr>
          <w:rFonts w:ascii="Arial" w:cs="Arial" w:eastAsia="Arial" w:hAnsi="Arial"/>
          <w:sz w:val="22"/>
          <w:szCs w:val="22"/>
        </w:rPr>
        <w:t xml:space="preserve">Currently every child answers all 32 questions regardless of how clear the signal is. An adaptive test would stop early when the model is already highly confident - potentially reducing test time from 15 minutes to under 8 minutes for many users. This would significantly improve completion rates, especially for younger or easily distracted children.</w:t>
      </w:r>
    </w:p>
    <w:p>
      <w:pPr>
        <w:spacing w:before="60" w:after="60"/>
      </w:pPr>
      <w:r>
        <w:t xml:space="preserve"/>
      </w:r>
    </w:p>
    <w:p>
      <w:pPr>
        <w:spacing w:before="200" w:after="80"/>
      </w:pPr>
      <w:r>
        <w:rPr>
          <w:rFonts w:ascii="Arial" w:cs="Arial" w:eastAsia="Arial" w:hAnsi="Arial"/>
          <w:b/>
          <w:bCs/>
          <w:color w:val="404040"/>
          <w:sz w:val="24"/>
          <w:szCs w:val="24"/>
        </w:rPr>
        <w:t xml:space="preserve">Continuous Retraining Pipeline</w:t>
      </w:r>
    </w:p>
    <w:p>
      <w:pPr>
        <w:spacing w:before="60" w:after="60" w:line="276"/>
      </w:pPr>
      <w:r>
        <w:rPr>
          <w:rFonts w:ascii="Arial" w:cs="Arial" w:eastAsia="Arial" w:hAnsi="Arial"/>
          <w:sz w:val="22"/>
          <w:szCs w:val="22"/>
        </w:rPr>
        <w:t xml:space="preserve">As the tool collects new data at scale (200,000+ uses reported), build an automated pipeline that periodically retrains on fresh data, monitors for accuracy drift, and publishes versioned model updates. This prevents the model from becoming stale as child demographics and test platforms evolve.</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6.3  Long-Term (9+ months)</w:t>
      </w:r>
    </w:p>
    <w:p>
      <w:pPr>
        <w:spacing w:before="200" w:after="80"/>
      </w:pPr>
      <w:r>
        <w:rPr>
          <w:rFonts w:ascii="Arial" w:cs="Arial" w:eastAsia="Arial" w:hAnsi="Arial"/>
          <w:b/>
          <w:bCs/>
          <w:color w:val="404040"/>
          <w:sz w:val="24"/>
          <w:szCs w:val="24"/>
        </w:rPr>
        <w:t xml:space="preserve">Comorbidity Detection</w:t>
      </w:r>
    </w:p>
    <w:p>
      <w:pPr>
        <w:spacing w:before="60" w:after="60" w:line="276"/>
      </w:pPr>
      <w:r>
        <w:rPr>
          <w:rFonts w:ascii="Arial" w:cs="Arial" w:eastAsia="Arial" w:hAnsi="Arial"/>
          <w:sz w:val="22"/>
          <w:szCs w:val="22"/>
        </w:rPr>
        <w:t xml:space="preserve">The paper notes that dyslexia co-occurs with ADHD (18-42% of cases) and dyscalculia (~40%). Adding secondary classifiers to distinguish dyslexia from ADHD based on attention-task performance patterns (particularly Q24-Q26 which target simultaneous attention) would make the tool far more clinically useful and reduce the risk of misdiagnosis.</w:t>
      </w:r>
    </w:p>
    <w:p>
      <w:pPr>
        <w:spacing w:before="60" w:after="60"/>
      </w:pPr>
      <w:r>
        <w:t xml:space="preserve"/>
      </w:r>
    </w:p>
    <w:p>
      <w:pPr>
        <w:spacing w:before="200" w:after="80"/>
      </w:pPr>
      <w:r>
        <w:rPr>
          <w:rFonts w:ascii="Arial" w:cs="Arial" w:eastAsia="Arial" w:hAnsi="Arial"/>
          <w:b/>
          <w:bCs/>
          <w:color w:val="404040"/>
          <w:sz w:val="24"/>
          <w:szCs w:val="24"/>
        </w:rPr>
        <w:t xml:space="preserve">Longitudinal Tracking</w:t>
      </w:r>
    </w:p>
    <w:p>
      <w:pPr>
        <w:spacing w:before="60" w:after="60" w:line="276"/>
      </w:pPr>
      <w:r>
        <w:rPr>
          <w:rFonts w:ascii="Arial" w:cs="Arial" w:eastAsia="Arial" w:hAnsi="Arial"/>
          <w:sz w:val="22"/>
          <w:szCs w:val="22"/>
        </w:rPr>
        <w:t xml:space="preserve">Allow the same child to retake the test across school years. Tracking score trajectories over time could detect children falling behind their peer group even before they individually cross the risk threshold - enabling earlier, more targeted intervention before school failure occurs.</w:t>
      </w:r>
    </w:p>
    <w:p>
      <w:pPr>
        <w:spacing w:before="60" w:after="60"/>
      </w:pPr>
      <w:r>
        <w:t xml:space="preserve"/>
      </w:r>
    </w:p>
    <w:p>
      <w:pPr>
        <w:spacing w:before="200" w:after="80"/>
      </w:pPr>
      <w:r>
        <w:rPr>
          <w:rFonts w:ascii="Arial" w:cs="Arial" w:eastAsia="Arial" w:hAnsi="Arial"/>
          <w:b/>
          <w:bCs/>
          <w:color w:val="404040"/>
          <w:sz w:val="24"/>
          <w:szCs w:val="24"/>
        </w:rPr>
        <w:t xml:space="preserve">Multimodal Features</w:t>
      </w:r>
    </w:p>
    <w:p>
      <w:pPr>
        <w:spacing w:before="60" w:after="60" w:line="276"/>
      </w:pPr>
      <w:r>
        <w:rPr>
          <w:rFonts w:ascii="Arial" w:cs="Arial" w:eastAsia="Arial" w:hAnsi="Arial"/>
          <w:sz w:val="22"/>
          <w:szCs w:val="22"/>
        </w:rPr>
        <w:t xml:space="preserve">The current model uses only click/hit/miss counts. Future versions could incorporate response time distributions per question, typing speed and error patterns from dictation tasks, and mouse hesitation trajectories. These richer behavioral signals could push model accuracy well above 85%.</w:t>
      </w:r>
    </w:p>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7. Enhancement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29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Input validation and error handling</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 threshold to use OOF predictions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Add automated unit tests</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Short-term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 age-group model packages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SHAP explainability layer</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Short-term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intervals on output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Adaptive test with early stopping</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Medium-term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Multi-language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Medium-term</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Continuous retraining pipeline</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Medium-term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Comorbidity detection (ADHD)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w:t>
            </w:r>
          </w:p>
        </w:tc>
      </w:tr>
      <w:tr>
        <w:tc>
          <w:tcPr>
            <w:tcW w:type="dxa" w:w="34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Longitudinal tracking</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15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Long-term</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Multimodal features (timing, audio)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w:t>
            </w:r>
          </w:p>
        </w:tc>
      </w:tr>
    </w:tbl>
    <w:p>
      <w:pPr>
        <w:spacing w:before="60" w:after="60"/>
      </w:pPr>
      <w:r>
        <w:t xml:space="preserve"/>
      </w:r>
    </w:p>
    <w:p>
      <w:pPr>
        <w:pStyle w:val="Heading1"/>
        <w:pBdr>
          <w:bottom w:val="single" w:color="1F4E79" w:sz="8" w:space="6"/>
        </w:pBdr>
        <w:spacing w:before="360" w:after="160"/>
      </w:pPr>
      <w:r>
        <w:rPr>
          <w:rFonts w:ascii="Arial" w:cs="Arial" w:eastAsia="Arial" w:hAnsi="Arial"/>
          <w:b/>
          <w:bCs/>
          <w:color w:val="1F4E79"/>
          <w:sz w:val="30"/>
          <w:szCs w:val="30"/>
        </w:rPr>
        <w:t xml:space="preserve">8. Conclusion</w:t>
      </w:r>
    </w:p>
    <w:p>
      <w:pPr>
        <w:spacing w:before="60" w:after="60" w:line="276"/>
      </w:pPr>
      <w:r>
        <w:rPr>
          <w:rFonts w:ascii="Arial" w:cs="Arial" w:eastAsia="Arial" w:hAnsi="Arial"/>
          <w:sz w:val="22"/>
          <w:szCs w:val="22"/>
        </w:rPr>
        <w:t xml:space="preserve">This is a strong academic-to-production translation of a peer-reviewed machine learning paper. The code is clean, results are reproducible, and the README gives the integration team everything they need. The most important short-term fixes are input validation and correcting the threshold calculation. The highest-impact long-term investments are multi-language support, age-stratified models, and SHAP-based explainability for non-technical users such as parents and school counselors.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40" w:after="40"/>
            </w:pPr>
            <w:r>
              <w:rPr>
                <w:rFonts w:ascii="Arial" w:cs="Arial" w:eastAsia="Arial" w:hAnsi="Arial"/>
                <w:b/>
                <w:bCs/>
                <w:color w:val="1F4E79"/>
                <w:sz w:val="22"/>
                <w:szCs w:val="22"/>
              </w:rPr>
              <w:t xml:space="preserve">Key Takeaway</w:t>
            </w:r>
          </w:p>
          <w:p>
            <w:pPr>
              <w:spacing w:before="40" w:after="40"/>
            </w:pPr>
            <w:r>
              <w:rPr>
                <w:rFonts w:ascii="Arial" w:cs="Arial" w:eastAsia="Arial" w:hAnsi="Arial"/>
                <w:sz w:val="21"/>
                <w:szCs w:val="21"/>
              </w:rPr>
              <w:t xml:space="preserve">This tool has genuine potential for social impact - the paper reports over 200,000 uses of the Spanish screener. With the enhancements described in this report, it could grow into a multilingual, clinically explainable, and continuously improving early dyslexia detection platform, reaching millions of children who might otherwise only be identified after school failure.</w:t>
            </w:r>
          </w:p>
        </w:tc>
      </w:tr>
    </w:tbl>
    <w:p>
      <w:pPr>
        <w:spacing w:before="60" w:after="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PLOS Dyslexia Model | Code Review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2026-03-13T13:21:49.701Z</dcterms:created>
  <dcterms:modified xsi:type="dcterms:W3CDTF">2026-03-13T13:21:49.702Z</dcterms:modified>
</cp:coreProperties>
</file>

<file path=docProps/custom.xml><?xml version="1.0" encoding="utf-8"?>
<Properties xmlns="http://schemas.openxmlformats.org/officeDocument/2006/custom-properties" xmlns:vt="http://schemas.openxmlformats.org/officeDocument/2006/docPropsVTypes"/>
</file>