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3DE0B" w14:textId="77777777" w:rsidR="00EF3282" w:rsidRDefault="000554A7" w:rsidP="003E43B2">
      <w:pPr>
        <w:spacing w:after="0"/>
        <w:jc w:val="right"/>
      </w:pPr>
      <w:r>
        <w:t>Khalil Somani</w:t>
      </w:r>
    </w:p>
    <w:p w14:paraId="558A0AC9" w14:textId="349710DB" w:rsidR="000554A7" w:rsidRDefault="00F97387" w:rsidP="003E43B2">
      <w:pPr>
        <w:spacing w:after="0"/>
        <w:jc w:val="right"/>
      </w:pPr>
      <w:r>
        <w:t>6/5</w:t>
      </w:r>
      <w:r w:rsidR="000554A7">
        <w:t>/2016</w:t>
      </w:r>
    </w:p>
    <w:p w14:paraId="2BCCA31A" w14:textId="2DBF573F" w:rsidR="00A449BA" w:rsidRPr="00F97387" w:rsidRDefault="005E2A99" w:rsidP="003E43B2">
      <w:pPr>
        <w:spacing w:after="0"/>
        <w:jc w:val="center"/>
        <w:rPr>
          <w:sz w:val="32"/>
          <w:szCs w:val="32"/>
        </w:rPr>
      </w:pPr>
      <w:r w:rsidRPr="00F97387">
        <w:rPr>
          <w:sz w:val="32"/>
          <w:szCs w:val="32"/>
        </w:rPr>
        <w:t>Communicating Research Finals</w:t>
      </w:r>
      <w:r w:rsidR="00FE44AA" w:rsidRPr="00F97387">
        <w:rPr>
          <w:sz w:val="32"/>
          <w:szCs w:val="32"/>
        </w:rPr>
        <w:t xml:space="preserve"> Draft</w:t>
      </w:r>
    </w:p>
    <w:p w14:paraId="6499ED5E" w14:textId="77777777" w:rsidR="000554A7" w:rsidRDefault="00F86D41" w:rsidP="003E43B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Introduction</w:t>
      </w:r>
    </w:p>
    <w:p w14:paraId="00340F96" w14:textId="705138AB" w:rsidR="000A0225" w:rsidRDefault="00FB4BC2" w:rsidP="003E43B2">
      <w:pPr>
        <w:spacing w:after="0"/>
      </w:pPr>
      <w:r>
        <w:t xml:space="preserve">Study spaces </w:t>
      </w:r>
      <w:r w:rsidR="006377AA">
        <w:t>are areas that facilitate productivity for stude</w:t>
      </w:r>
      <w:r w:rsidR="00DC01D0">
        <w:t>nts doing various types of work</w:t>
      </w:r>
      <w:r w:rsidR="006377AA">
        <w:t xml:space="preserve">. </w:t>
      </w:r>
      <w:r>
        <w:t>My</w:t>
      </w:r>
      <w:r w:rsidR="000554A7">
        <w:t xml:space="preserve"> research was conducted in order to </w:t>
      </w:r>
      <w:r w:rsidR="00E67ABE">
        <w:t>understand study space</w:t>
      </w:r>
      <w:r>
        <w:t>s</w:t>
      </w:r>
      <w:r w:rsidR="00E67ABE">
        <w:t xml:space="preserve"> at the University of Washington</w:t>
      </w:r>
      <w:r w:rsidR="00FE44AA">
        <w:t xml:space="preserve">. My goals were </w:t>
      </w:r>
      <w:r w:rsidR="006D369F">
        <w:t xml:space="preserve">to observe how students use </w:t>
      </w:r>
      <w:r w:rsidR="00E67ABE">
        <w:t xml:space="preserve">campus </w:t>
      </w:r>
      <w:r w:rsidR="006D369F">
        <w:t>study space</w:t>
      </w:r>
      <w:r w:rsidR="00E67ABE">
        <w:t xml:space="preserve">s, </w:t>
      </w:r>
      <w:r>
        <w:t xml:space="preserve">to </w:t>
      </w:r>
      <w:r w:rsidR="00E67ABE">
        <w:t>learn details about why they study or don’t study in campus study spaces, and</w:t>
      </w:r>
      <w:r>
        <w:t xml:space="preserve"> to </w:t>
      </w:r>
      <w:r w:rsidR="006D369F">
        <w:t xml:space="preserve">understand </w:t>
      </w:r>
      <w:r w:rsidR="00FD211E">
        <w:t>and ass</w:t>
      </w:r>
      <w:r w:rsidR="00E67ABE">
        <w:t>ess those findings</w:t>
      </w:r>
      <w:r w:rsidR="006D369F">
        <w:t>.</w:t>
      </w:r>
      <w:r w:rsidR="00DC01D0">
        <w:t xml:space="preserve"> </w:t>
      </w:r>
      <w:r>
        <w:t>I hoped to learn</w:t>
      </w:r>
      <w:r w:rsidR="00DC01D0">
        <w:t xml:space="preserve"> </w:t>
      </w:r>
      <w:r w:rsidR="0054303B">
        <w:t>what</w:t>
      </w:r>
      <w:r w:rsidR="005E2A99">
        <w:t xml:space="preserve"> make</w:t>
      </w:r>
      <w:r w:rsidR="0054303B">
        <w:t>s</w:t>
      </w:r>
      <w:r w:rsidR="00DC01D0">
        <w:t xml:space="preserve"> users </w:t>
      </w:r>
      <w:r w:rsidR="005E2A99">
        <w:t>more comfortabl</w:t>
      </w:r>
      <w:r w:rsidR="00DC01D0">
        <w:t xml:space="preserve">e in a </w:t>
      </w:r>
      <w:r w:rsidR="005E2A99">
        <w:t xml:space="preserve">space </w:t>
      </w:r>
      <w:r>
        <w:t xml:space="preserve">and </w:t>
      </w:r>
      <w:r w:rsidR="005E2A99">
        <w:t>how to maximize user productivity regardless of individual differences.</w:t>
      </w:r>
      <w:r w:rsidR="006D369F">
        <w:t xml:space="preserve"> By going through this </w:t>
      </w:r>
      <w:r w:rsidR="00A5027A">
        <w:t>rigorous</w:t>
      </w:r>
      <w:r w:rsidR="006D369F">
        <w:t xml:space="preserve"> process</w:t>
      </w:r>
      <w:r w:rsidR="00FD211E">
        <w:t>,</w:t>
      </w:r>
      <w:r w:rsidR="006D369F">
        <w:t xml:space="preserve"> </w:t>
      </w:r>
      <w:r w:rsidR="00E67ABE">
        <w:t xml:space="preserve">I </w:t>
      </w:r>
      <w:r>
        <w:t>wanted</w:t>
      </w:r>
      <w:r w:rsidR="00E67ABE">
        <w:t xml:space="preserve"> to answer the question, </w:t>
      </w:r>
      <w:r w:rsidR="00DC01D0">
        <w:t>“H</w:t>
      </w:r>
      <w:r w:rsidR="000A0225">
        <w:t>ow can I make campus</w:t>
      </w:r>
      <w:r w:rsidR="00FE44AA">
        <w:t xml:space="preserve"> study spaces ideal for</w:t>
      </w:r>
      <w:r w:rsidR="000A0225">
        <w:t xml:space="preserve"> students?” </w:t>
      </w:r>
    </w:p>
    <w:p w14:paraId="08015FBF" w14:textId="77777777" w:rsidR="00FB4BC2" w:rsidRDefault="00FB4BC2" w:rsidP="003E43B2">
      <w:pPr>
        <w:spacing w:after="0"/>
      </w:pPr>
    </w:p>
    <w:p w14:paraId="68469833" w14:textId="35C6D92E" w:rsidR="00440D8E" w:rsidRDefault="000A0225" w:rsidP="003E43B2">
      <w:pPr>
        <w:spacing w:after="0"/>
      </w:pPr>
      <w:r>
        <w:t xml:space="preserve">It is of crucial importance that students utilize spaces that meet their needs, </w:t>
      </w:r>
      <w:r w:rsidR="00A5027A">
        <w:t>especially</w:t>
      </w:r>
      <w:r>
        <w:t xml:space="preserve"> because study spa</w:t>
      </w:r>
      <w:r w:rsidR="00DC01D0">
        <w:t xml:space="preserve">ces have been found to </w:t>
      </w:r>
      <w:r>
        <w:t xml:space="preserve">detract from learning in some cases (Nonis &amp; Hudson, 2010). Therefore, it is </w:t>
      </w:r>
      <w:r w:rsidR="00A5027A">
        <w:t>crucial</w:t>
      </w:r>
      <w:r>
        <w:t xml:space="preserve"> to design spaces that provide interactions, resources, and </w:t>
      </w:r>
      <w:r w:rsidR="00A5027A">
        <w:t>atmospheres</w:t>
      </w:r>
      <w:r>
        <w:t xml:space="preserve"> that not only cater to academics</w:t>
      </w:r>
      <w:r w:rsidR="009E2F35">
        <w:t>,</w:t>
      </w:r>
      <w:r>
        <w:t xml:space="preserve"> but also all the requirements of t</w:t>
      </w:r>
      <w:r w:rsidR="00F86D41">
        <w:t>he user (Applegate, 2009</w:t>
      </w:r>
      <w:r>
        <w:t>).</w:t>
      </w:r>
    </w:p>
    <w:p w14:paraId="2886993F" w14:textId="77777777" w:rsidR="009E2F35" w:rsidRDefault="009E2F35" w:rsidP="003E43B2">
      <w:pPr>
        <w:spacing w:after="0"/>
      </w:pPr>
    </w:p>
    <w:p w14:paraId="7749CAE5" w14:textId="19BF4299" w:rsidR="00F86D41" w:rsidRDefault="00440D8E" w:rsidP="003E43B2">
      <w:pPr>
        <w:spacing w:after="0"/>
      </w:pPr>
      <w:r>
        <w:t xml:space="preserve">My findings were derived from 3 </w:t>
      </w:r>
      <w:r w:rsidR="00B47EFE">
        <w:t xml:space="preserve">deep-hanging out </w:t>
      </w:r>
      <w:r>
        <w:t xml:space="preserve">field observations in Odegaard Library, Alder Commons, and Savery Hall </w:t>
      </w:r>
      <w:r w:rsidR="00DC01D0">
        <w:t xml:space="preserve">for 1.5 hours each, as well as </w:t>
      </w:r>
      <w:r w:rsidR="005B68EE">
        <w:t>semi-structured</w:t>
      </w:r>
      <w:r>
        <w:t xml:space="preserve"> interviews with </w:t>
      </w:r>
      <w:r w:rsidR="00DC01D0">
        <w:t>3</w:t>
      </w:r>
      <w:r>
        <w:t xml:space="preserve"> users and a survey of 34 users. The findings will be used to create on-campus study spaces that accommodate key user </w:t>
      </w:r>
      <w:r w:rsidR="00DC01D0">
        <w:t>needs.</w:t>
      </w:r>
      <w:r>
        <w:t xml:space="preserve"> </w:t>
      </w:r>
    </w:p>
    <w:p w14:paraId="37C2D68A" w14:textId="77777777" w:rsidR="00FB4BC2" w:rsidRDefault="00FB4BC2" w:rsidP="003E43B2">
      <w:pPr>
        <w:spacing w:after="0"/>
      </w:pPr>
    </w:p>
    <w:p w14:paraId="64F9B0C5" w14:textId="7120A405" w:rsidR="00E279C6" w:rsidRDefault="009E2F35" w:rsidP="003E43B2">
      <w:pPr>
        <w:spacing w:after="0"/>
      </w:pPr>
      <w:r>
        <w:t>My target users were UW students that</w:t>
      </w:r>
      <w:r w:rsidR="00E279C6">
        <w:t xml:space="preserve"> utilize study spaces on camp</w:t>
      </w:r>
      <w:r w:rsidR="00DC01D0">
        <w:t>us on a regular basis. I</w:t>
      </w:r>
      <w:r w:rsidR="00E279C6">
        <w:t>t is those students who will use</w:t>
      </w:r>
      <w:r w:rsidR="00DC01D0">
        <w:t xml:space="preserve"> the</w:t>
      </w:r>
      <w:r w:rsidR="00E279C6">
        <w:t xml:space="preserve"> f</w:t>
      </w:r>
      <w:r>
        <w:t xml:space="preserve">uture study spaces that I will </w:t>
      </w:r>
      <w:r w:rsidR="00E279C6">
        <w:t>design</w:t>
      </w:r>
      <w:r w:rsidR="00DC01D0">
        <w:t xml:space="preserve">, and this will </w:t>
      </w:r>
      <w:r w:rsidR="00E279C6">
        <w:t xml:space="preserve">hopefully help them achieve </w:t>
      </w:r>
      <w:r w:rsidR="00DC01D0">
        <w:t xml:space="preserve">all </w:t>
      </w:r>
      <w:r w:rsidR="00E279C6">
        <w:t>their goals i</w:t>
      </w:r>
      <w:r w:rsidR="00DC01D0">
        <w:t xml:space="preserve">n the space. </w:t>
      </w:r>
      <w:r w:rsidR="00E279C6">
        <w:t xml:space="preserve">I am </w:t>
      </w:r>
      <w:r w:rsidR="00DC01D0">
        <w:t xml:space="preserve">designing for juniors specifically </w:t>
      </w:r>
      <w:r w:rsidR="00E279C6">
        <w:t>because my survey</w:t>
      </w:r>
      <w:r w:rsidR="00DC01D0">
        <w:t xml:space="preserve">s </w:t>
      </w:r>
      <w:r w:rsidR="00E279C6">
        <w:t xml:space="preserve">showed that the majority (56%) of my participants were juniors, which seems to mean that </w:t>
      </w:r>
      <w:r w:rsidR="00DC01D0">
        <w:t>many</w:t>
      </w:r>
      <w:r w:rsidR="00E279C6">
        <w:t xml:space="preserve"> </w:t>
      </w:r>
      <w:r>
        <w:t xml:space="preserve">of the </w:t>
      </w:r>
      <w:r w:rsidR="00E279C6">
        <w:t xml:space="preserve">people interested in </w:t>
      </w:r>
      <w:r w:rsidR="00DC01D0">
        <w:t>creating</w:t>
      </w:r>
      <w:r w:rsidR="00E279C6">
        <w:t xml:space="preserve"> improved study spaces on campus are ju</w:t>
      </w:r>
      <w:r w:rsidR="00FE44AA">
        <w:t>niors</w:t>
      </w:r>
      <w:r w:rsidR="00E279C6">
        <w:t xml:space="preserve">. </w:t>
      </w:r>
    </w:p>
    <w:p w14:paraId="24BD04AE" w14:textId="0D08EA65" w:rsidR="003E43B2" w:rsidRDefault="003E43B2" w:rsidP="0099662B">
      <w:pPr>
        <w:jc w:val="center"/>
        <w:rPr>
          <w:i/>
        </w:rPr>
      </w:pPr>
    </w:p>
    <w:p w14:paraId="0269543E" w14:textId="2A14E116" w:rsidR="003E43B2" w:rsidRDefault="003E43B2" w:rsidP="0099662B">
      <w:pPr>
        <w:jc w:val="center"/>
        <w:rPr>
          <w:i/>
        </w:rPr>
      </w:pPr>
      <w:r w:rsidRPr="002912BB">
        <w:rPr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0015402" wp14:editId="2B4F4DE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200650" cy="1152525"/>
            <wp:effectExtent l="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0153C" w14:textId="77777777" w:rsidR="00A13C72" w:rsidRDefault="00A13C72" w:rsidP="003E43B2">
      <w:pPr>
        <w:spacing w:after="0"/>
        <w:jc w:val="center"/>
        <w:rPr>
          <w:i/>
        </w:rPr>
      </w:pPr>
    </w:p>
    <w:p w14:paraId="719B6141" w14:textId="77777777" w:rsidR="00A13C72" w:rsidRDefault="00A13C72" w:rsidP="003E43B2">
      <w:pPr>
        <w:spacing w:after="0"/>
        <w:jc w:val="center"/>
        <w:rPr>
          <w:i/>
        </w:rPr>
      </w:pPr>
    </w:p>
    <w:p w14:paraId="70EEFF3C" w14:textId="77777777" w:rsidR="00A13C72" w:rsidRDefault="00A13C72" w:rsidP="003E43B2">
      <w:pPr>
        <w:spacing w:after="0"/>
        <w:jc w:val="center"/>
        <w:rPr>
          <w:i/>
        </w:rPr>
      </w:pPr>
    </w:p>
    <w:p w14:paraId="1BC28E1F" w14:textId="77777777" w:rsidR="00A13C72" w:rsidRDefault="00A13C72" w:rsidP="003E43B2">
      <w:pPr>
        <w:spacing w:after="0"/>
        <w:jc w:val="center"/>
        <w:rPr>
          <w:i/>
        </w:rPr>
      </w:pPr>
    </w:p>
    <w:p w14:paraId="11D2EF57" w14:textId="29C6AF8D" w:rsidR="00A13C72" w:rsidRDefault="009E2F35" w:rsidP="003E43B2">
      <w:pPr>
        <w:spacing w:after="0"/>
        <w:jc w:val="center"/>
        <w:rPr>
          <w:i/>
        </w:rPr>
      </w:pPr>
      <w:r w:rsidRPr="002912BB">
        <w:rPr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C4503A2" wp14:editId="193D92B8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4714875" cy="2952750"/>
            <wp:effectExtent l="0" t="0" r="0" b="19050"/>
            <wp:wrapTopAndBottom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713D0" w14:textId="3AAD69F5" w:rsidR="00C379BA" w:rsidRPr="0099662B" w:rsidRDefault="00C379BA" w:rsidP="003E43B2">
      <w:pPr>
        <w:spacing w:after="0"/>
        <w:jc w:val="center"/>
        <w:rPr>
          <w:b/>
          <w:sz w:val="32"/>
          <w:szCs w:val="32"/>
        </w:rPr>
      </w:pPr>
      <w:r w:rsidRPr="00F25ED2">
        <w:rPr>
          <w:i/>
        </w:rPr>
        <w:lastRenderedPageBreak/>
        <w:t>Framework of Results: Users want spaces that are distinguishable, accommodating, and convenient</w:t>
      </w:r>
    </w:p>
    <w:p w14:paraId="3D55FE02" w14:textId="77777777" w:rsidR="00CF453F" w:rsidRDefault="00CF453F" w:rsidP="003E43B2">
      <w:pPr>
        <w:spacing w:after="0"/>
        <w:rPr>
          <w:b/>
          <w:sz w:val="32"/>
          <w:szCs w:val="32"/>
        </w:rPr>
      </w:pPr>
    </w:p>
    <w:p w14:paraId="26FE78A2" w14:textId="0B669388" w:rsidR="00CF453F" w:rsidRPr="00CF453F" w:rsidRDefault="00F15A5C" w:rsidP="003E43B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Key Findings</w:t>
      </w:r>
    </w:p>
    <w:p w14:paraId="0804AD7B" w14:textId="726C145C" w:rsidR="00A7697A" w:rsidRPr="003146AD" w:rsidRDefault="00A7697A" w:rsidP="003E43B2">
      <w:pPr>
        <w:spacing w:after="0"/>
        <w:rPr>
          <w:sz w:val="32"/>
          <w:szCs w:val="32"/>
        </w:rPr>
      </w:pPr>
      <w:r w:rsidRPr="003146AD">
        <w:rPr>
          <w:sz w:val="32"/>
          <w:szCs w:val="32"/>
        </w:rPr>
        <w:t>Easily Distinguishable Quiet/Isolated and Social/Interactive Spaces</w:t>
      </w:r>
    </w:p>
    <w:p w14:paraId="367FF53E" w14:textId="01FC8C59" w:rsidR="00955454" w:rsidRPr="00955454" w:rsidRDefault="00955454" w:rsidP="003E43B2">
      <w:pPr>
        <w:spacing w:after="0"/>
      </w:pPr>
      <w:r>
        <w:t xml:space="preserve">Users differ greatly on when they prefer to do work in quiet/isolated spaces vs. social/interactive spaces, but prefer to have both available. They use spaces more if they are </w:t>
      </w:r>
      <w:r w:rsidR="00A21322">
        <w:t xml:space="preserve">easily distinguishable. </w:t>
      </w:r>
      <w:r>
        <w:t xml:space="preserve"> </w:t>
      </w:r>
    </w:p>
    <w:p w14:paraId="48AD2FCB" w14:textId="77777777" w:rsidR="00FB4BC2" w:rsidRDefault="00FB4BC2" w:rsidP="003E43B2">
      <w:pPr>
        <w:spacing w:after="0"/>
        <w:rPr>
          <w:b/>
        </w:rPr>
      </w:pPr>
    </w:p>
    <w:p w14:paraId="65F00FC8" w14:textId="1FA4827B" w:rsidR="00A7697A" w:rsidRPr="00A7697A" w:rsidRDefault="00A7697A" w:rsidP="003E43B2">
      <w:pPr>
        <w:spacing w:after="0"/>
        <w:rPr>
          <w:b/>
        </w:rPr>
      </w:pPr>
      <w:r>
        <w:rPr>
          <w:b/>
        </w:rPr>
        <w:t>Proof</w:t>
      </w:r>
    </w:p>
    <w:p w14:paraId="459A57B4" w14:textId="0393886F" w:rsidR="00955454" w:rsidRDefault="00A7697A" w:rsidP="003E43B2">
      <w:pPr>
        <w:spacing w:after="0"/>
      </w:pPr>
      <w:r>
        <w:t xml:space="preserve">I came into this research project with the </w:t>
      </w:r>
      <w:r w:rsidR="00F86D41">
        <w:t>assumption</w:t>
      </w:r>
      <w:r>
        <w:t xml:space="preserve"> that </w:t>
      </w:r>
      <w:r w:rsidR="00955454">
        <w:t>users would prefer to study in quiet</w:t>
      </w:r>
      <w:r w:rsidR="00A21322">
        <w:t xml:space="preserve"> </w:t>
      </w:r>
      <w:r w:rsidR="00955454">
        <w:t xml:space="preserve">spaces. This was confirmed in my field research, where </w:t>
      </w:r>
      <w:r w:rsidR="000A0FA8">
        <w:t xml:space="preserve">after observing 59 total users in Odegaard, Alder Commons, and Savery, </w:t>
      </w:r>
      <w:r w:rsidR="00F25ED2">
        <w:t xml:space="preserve">I found </w:t>
      </w:r>
      <w:r w:rsidR="00955454">
        <w:t xml:space="preserve">most users </w:t>
      </w:r>
      <w:r w:rsidR="00F25ED2">
        <w:t>preferred spaces that were quiet/</w:t>
      </w:r>
      <w:r w:rsidR="00EF750B">
        <w:t>isolating</w:t>
      </w:r>
      <w:r w:rsidR="00955454">
        <w:t xml:space="preserve"> from others</w:t>
      </w:r>
      <w:r w:rsidR="009C1527">
        <w:t xml:space="preserve"> (44%)</w:t>
      </w:r>
      <w:r w:rsidR="00955454">
        <w:t xml:space="preserve">. </w:t>
      </w:r>
      <w:r w:rsidR="00D91004">
        <w:t>However</w:t>
      </w:r>
      <w:r w:rsidR="001347DD">
        <w:t>,</w:t>
      </w:r>
      <w:r w:rsidR="00D91004">
        <w:t xml:space="preserve"> </w:t>
      </w:r>
      <w:r w:rsidR="00955454">
        <w:t>my interviews</w:t>
      </w:r>
      <w:r w:rsidR="00A21322">
        <w:t xml:space="preserve"> </w:t>
      </w:r>
      <w:r w:rsidR="00F25ED2">
        <w:t>suggested noise/</w:t>
      </w:r>
      <w:r w:rsidR="00EF750B">
        <w:t>interaction were</w:t>
      </w:r>
      <w:r w:rsidR="00955454">
        <w:t xml:space="preserve"> beneficial to users </w:t>
      </w:r>
      <w:r w:rsidR="00D91004">
        <w:t>while</w:t>
      </w:r>
      <w:r w:rsidR="00F25ED2">
        <w:t xml:space="preserve"> doing light work</w:t>
      </w:r>
      <w:r w:rsidR="001347DD">
        <w:t>,</w:t>
      </w:r>
      <w:r w:rsidR="00F25ED2">
        <w:t xml:space="preserve"> but quiet/</w:t>
      </w:r>
      <w:r w:rsidR="00955454">
        <w:t>isolatio</w:t>
      </w:r>
      <w:r w:rsidR="00EF750B">
        <w:t xml:space="preserve">n was preferred </w:t>
      </w:r>
      <w:r w:rsidR="00EE0D8E">
        <w:t>for</w:t>
      </w:r>
      <w:r w:rsidR="00955454">
        <w:t xml:space="preserve"> difficult work. This conclusion came from statements li</w:t>
      </w:r>
      <w:r w:rsidR="001347DD">
        <w:t xml:space="preserve">ke </w:t>
      </w:r>
      <w:r w:rsidR="00D91004">
        <w:t>P2 saying</w:t>
      </w:r>
      <w:r w:rsidR="00955454">
        <w:t>, “I like it when it’s fairly quiet…</w:t>
      </w:r>
      <w:r w:rsidR="00955454" w:rsidRPr="0088526B">
        <w:t xml:space="preserve"> </w:t>
      </w:r>
      <w:r w:rsidR="00955454">
        <w:t>sitting in a Poplar study space by myself that would be ideal</w:t>
      </w:r>
      <w:r w:rsidR="00322581">
        <w:t>,</w:t>
      </w:r>
      <w:r w:rsidR="00955454">
        <w:t xml:space="preserve">” which sharply </w:t>
      </w:r>
      <w:r w:rsidR="00F25ED2">
        <w:t>contrasts to P3 stating</w:t>
      </w:r>
      <w:r w:rsidR="00955454">
        <w:t>, “[In the library] if I see someone working really hard it’s like I should be working that hard.”</w:t>
      </w:r>
    </w:p>
    <w:p w14:paraId="4DE5CFC8" w14:textId="77777777" w:rsidR="00322581" w:rsidRDefault="00322581" w:rsidP="003E43B2">
      <w:pPr>
        <w:spacing w:after="0"/>
      </w:pPr>
    </w:p>
    <w:p w14:paraId="4D236B62" w14:textId="1B4D3198" w:rsidR="00955454" w:rsidRDefault="00F25ED2" w:rsidP="003E43B2">
      <w:pPr>
        <w:spacing w:after="0"/>
      </w:pPr>
      <w:r>
        <w:t xml:space="preserve">In </w:t>
      </w:r>
      <w:r w:rsidR="00F71CF8">
        <w:t>my surveys, a</w:t>
      </w:r>
      <w:r w:rsidR="00955454">
        <w:t xml:space="preserve"> majority of users considered libraries to be noisy</w:t>
      </w:r>
      <w:r w:rsidR="00144A7D">
        <w:t xml:space="preserve"> (65%)</w:t>
      </w:r>
      <w:r w:rsidR="00322581">
        <w:t>,</w:t>
      </w:r>
      <w:r w:rsidR="00955454">
        <w:t xml:space="preserve"> but </w:t>
      </w:r>
      <w:r w:rsidR="00F71CF8">
        <w:t>still considered them</w:t>
      </w:r>
      <w:r w:rsidR="00955454">
        <w:t xml:space="preserve"> the most popular space to study</w:t>
      </w:r>
      <w:r w:rsidR="00144A7D">
        <w:t xml:space="preserve"> (53%)</w:t>
      </w:r>
      <w:r w:rsidR="00955454">
        <w:t xml:space="preserve">. Dorms were found be </w:t>
      </w:r>
      <w:r w:rsidR="00F71CF8">
        <w:t>both</w:t>
      </w:r>
      <w:r w:rsidR="00955454">
        <w:t xml:space="preserve"> no</w:t>
      </w:r>
      <w:r w:rsidR="00EF750B">
        <w:t>isy and quiet</w:t>
      </w:r>
      <w:r w:rsidR="000A0FA8">
        <w:t xml:space="preserve">, but half </w:t>
      </w:r>
      <w:r w:rsidR="00322581">
        <w:t xml:space="preserve">of </w:t>
      </w:r>
      <w:r w:rsidR="00445B0F">
        <w:t>the participants stated that they did not use dorm spaces to study at all</w:t>
      </w:r>
      <w:r w:rsidR="00144A7D">
        <w:t xml:space="preserve"> (50%)</w:t>
      </w:r>
      <w:r w:rsidR="00445B0F">
        <w:t>, lik</w:t>
      </w:r>
      <w:r w:rsidR="00F86D41">
        <w:t>ely the r</w:t>
      </w:r>
      <w:r w:rsidR="00EF750B">
        <w:t xml:space="preserve">esult of </w:t>
      </w:r>
      <w:r w:rsidR="004F5FEF">
        <w:t>participan</w:t>
      </w:r>
      <w:r>
        <w:t xml:space="preserve">ts wanting either a quiet </w:t>
      </w:r>
      <w:r w:rsidR="004F5FEF">
        <w:t>or a</w:t>
      </w:r>
      <w:r w:rsidR="00144A7D">
        <w:t>n</w:t>
      </w:r>
      <w:r w:rsidR="004F5FEF">
        <w:t xml:space="preserve"> interactive space but not both. </w:t>
      </w:r>
    </w:p>
    <w:p w14:paraId="370F5969" w14:textId="77777777" w:rsidR="00FB4BC2" w:rsidRDefault="00FB4BC2" w:rsidP="003E43B2">
      <w:pPr>
        <w:spacing w:after="0"/>
        <w:rPr>
          <w:b/>
        </w:rPr>
      </w:pPr>
    </w:p>
    <w:p w14:paraId="62DB6405" w14:textId="77777777" w:rsidR="00A7697A" w:rsidRPr="00445B0F" w:rsidRDefault="00445B0F" w:rsidP="003E43B2">
      <w:pPr>
        <w:spacing w:after="0"/>
        <w:rPr>
          <w:b/>
        </w:rPr>
      </w:pPr>
      <w:r>
        <w:rPr>
          <w:b/>
        </w:rPr>
        <w:t>Discussion</w:t>
      </w:r>
    </w:p>
    <w:p w14:paraId="1598F05B" w14:textId="146F9038" w:rsidR="00797E11" w:rsidRPr="00445B0F" w:rsidRDefault="00F25ED2" w:rsidP="003E43B2">
      <w:pPr>
        <w:spacing w:after="0"/>
      </w:pPr>
      <w:r>
        <w:t>I</w:t>
      </w:r>
      <w:r w:rsidR="00315F68">
        <w:t>t aggravates users to have</w:t>
      </w:r>
      <w:r w:rsidR="00EE0D8E">
        <w:t xml:space="preserve"> to study in atmosphere</w:t>
      </w:r>
      <w:r w:rsidR="00F71CF8">
        <w:t>s</w:t>
      </w:r>
      <w:r w:rsidR="00EE0D8E">
        <w:t xml:space="preserve"> </w:t>
      </w:r>
      <w:r w:rsidR="00FA79D0">
        <w:t xml:space="preserve">that are </w:t>
      </w:r>
      <w:r w:rsidR="00F71CF8">
        <w:t>not enhancing t</w:t>
      </w:r>
      <w:r w:rsidR="00315F68">
        <w:t xml:space="preserve">he work they are doing. </w:t>
      </w:r>
      <w:r w:rsidR="007255B6">
        <w:t xml:space="preserve">As seen in my framework, it is important to have a clear distinction between quiet/isolated study areas and social/interactive study areas. </w:t>
      </w:r>
      <w:r w:rsidR="00EE0D8E">
        <w:t>P</w:t>
      </w:r>
      <w:r w:rsidR="00A27008">
        <w:t xml:space="preserve">roviding spaces that accommodate all users and types of </w:t>
      </w:r>
      <w:r w:rsidR="00F71CF8">
        <w:t xml:space="preserve">work </w:t>
      </w:r>
      <w:r w:rsidR="00A27008">
        <w:t>means users are forced to study in a space that fits the “average” student</w:t>
      </w:r>
      <w:r w:rsidR="00F71CF8">
        <w:t>,</w:t>
      </w:r>
      <w:r w:rsidR="00FA79D0">
        <w:t xml:space="preserve"> but doesn’t fit </w:t>
      </w:r>
      <w:r w:rsidR="00A27008">
        <w:t>their study needs as an individual</w:t>
      </w:r>
      <w:r w:rsidR="00445B0F">
        <w:t xml:space="preserve">. </w:t>
      </w:r>
      <w:r w:rsidR="00A21322">
        <w:t>U</w:t>
      </w:r>
      <w:r w:rsidR="00445B0F">
        <w:t>sers either liked spaces that were very noisy or very quiet</w:t>
      </w:r>
      <w:r>
        <w:t xml:space="preserve">. They liked libraries </w:t>
      </w:r>
      <w:r w:rsidR="00FA79D0">
        <w:t xml:space="preserve">the most, likely because </w:t>
      </w:r>
      <w:r w:rsidR="00445B0F">
        <w:t>havi</w:t>
      </w:r>
      <w:r>
        <w:t>ng the availability of</w:t>
      </w:r>
      <w:r w:rsidR="00445B0F">
        <w:t xml:space="preserve"> “sub-atmospheres” </w:t>
      </w:r>
      <w:r w:rsidR="00F71CF8">
        <w:t>with</w:t>
      </w:r>
      <w:r>
        <w:t xml:space="preserve"> </w:t>
      </w:r>
      <w:r w:rsidR="00F71CF8">
        <w:t>distinct</w:t>
      </w:r>
      <w:r>
        <w:t xml:space="preserve"> areas seemed</w:t>
      </w:r>
      <w:r w:rsidR="00445B0F">
        <w:t xml:space="preserve"> to attract students.   </w:t>
      </w:r>
    </w:p>
    <w:p w14:paraId="62E5E2BD" w14:textId="77777777" w:rsidR="00FB4BC2" w:rsidRDefault="00FB4BC2" w:rsidP="003E43B2">
      <w:pPr>
        <w:spacing w:after="0"/>
        <w:rPr>
          <w:b/>
        </w:rPr>
      </w:pPr>
    </w:p>
    <w:p w14:paraId="2749930D" w14:textId="77777777" w:rsidR="00445B0F" w:rsidRDefault="00445B0F" w:rsidP="003E43B2">
      <w:pPr>
        <w:spacing w:after="0"/>
        <w:rPr>
          <w:b/>
        </w:rPr>
      </w:pPr>
      <w:r>
        <w:rPr>
          <w:b/>
        </w:rPr>
        <w:t>Design Recommendation</w:t>
      </w:r>
      <w:r w:rsidR="004F5DEB">
        <w:rPr>
          <w:b/>
        </w:rPr>
        <w:t>s</w:t>
      </w:r>
    </w:p>
    <w:p w14:paraId="7BFE2D2E" w14:textId="786448B2" w:rsidR="00D76445" w:rsidRDefault="00A21322" w:rsidP="003E43B2">
      <w:pPr>
        <w:spacing w:after="0"/>
      </w:pPr>
      <w:r>
        <w:t>S</w:t>
      </w:r>
      <w:r w:rsidR="00E10B8A">
        <w:t>tudy spaces should be designed to have distinct separation between quiet/isolated areas and noisy/i</w:t>
      </w:r>
      <w:r w:rsidR="00FA79D0">
        <w:t>nteractive areas so users can</w:t>
      </w:r>
      <w:r w:rsidR="00E10B8A">
        <w:t xml:space="preserve"> </w:t>
      </w:r>
      <w:r w:rsidR="008127EA">
        <w:t xml:space="preserve">choose according to </w:t>
      </w:r>
      <w:r w:rsidR="00E10B8A">
        <w:t>their personal or a</w:t>
      </w:r>
      <w:r w:rsidR="00FA79D0">
        <w:t>cademic needs</w:t>
      </w:r>
      <w:r w:rsidR="00E10B8A">
        <w:t xml:space="preserve">. </w:t>
      </w:r>
      <w:r w:rsidR="00F750A2">
        <w:t xml:space="preserve">Figure 1 below illustrates how the noisy/interactive area would be much more open and shared with others while the quiet/isolated area would involve many </w:t>
      </w:r>
      <w:r w:rsidR="00FA79D0">
        <w:t>more individual rooms with ample</w:t>
      </w:r>
      <w:r w:rsidR="00F750A2">
        <w:t xml:space="preserve"> space. </w:t>
      </w:r>
      <w:r w:rsidR="00E10B8A">
        <w:t>These areas should be clearly distinguished and separated but easy to access</w:t>
      </w:r>
      <w:r w:rsidR="00FA79D0">
        <w:t>. T</w:t>
      </w:r>
      <w:r w:rsidR="005A1956">
        <w:t>here should be one large floor divided by a wall, with distinct signs on one side saying, “</w:t>
      </w:r>
      <w:r w:rsidR="006B749F">
        <w:t xml:space="preserve">Interactive Study: A Space for Collaboration and Discussion” and another sign on the other side saying “Quiet Study: A Space for Isolated Focus and Concentration”. There should be a </w:t>
      </w:r>
      <w:r w:rsidR="00F25ED2">
        <w:t>d</w:t>
      </w:r>
      <w:r w:rsidR="00FA79D0">
        <w:t xml:space="preserve">oor between the two so that </w:t>
      </w:r>
      <w:r w:rsidR="00F25ED2">
        <w:t>user</w:t>
      </w:r>
      <w:r w:rsidR="00FA79D0">
        <w:t>s can easily access each one</w:t>
      </w:r>
      <w:r w:rsidR="006B749F">
        <w:t xml:space="preserve"> </w:t>
      </w:r>
      <w:r>
        <w:t>depending on the</w:t>
      </w:r>
      <w:r w:rsidR="008127EA">
        <w:t>ir work</w:t>
      </w:r>
      <w:r w:rsidR="006B749F">
        <w:t xml:space="preserve">. </w:t>
      </w:r>
    </w:p>
    <w:p w14:paraId="4C9B11D8" w14:textId="53D4C6FB" w:rsidR="00E10B8A" w:rsidRDefault="00DA7754" w:rsidP="0015533E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98906D" wp14:editId="3F39B3D1">
            <wp:simplePos x="0" y="0"/>
            <wp:positionH relativeFrom="column">
              <wp:posOffset>3486150</wp:posOffset>
            </wp:positionH>
            <wp:positionV relativeFrom="paragraph">
              <wp:posOffset>4445</wp:posOffset>
            </wp:positionV>
            <wp:extent cx="3028950" cy="1504950"/>
            <wp:effectExtent l="0" t="0" r="0" b="0"/>
            <wp:wrapSquare wrapText="bothSides"/>
            <wp:docPr id="7" name="Picture 7" descr="http://www.bodleian.ox.ac.uk/__data/assets/image/0010/95707/New-Study-sp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odleian.ox.ac.uk/__data/assets/image/0010/95707/New-Study-spac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445">
        <w:rPr>
          <w:noProof/>
        </w:rPr>
        <w:drawing>
          <wp:inline distT="0" distB="0" distL="0" distR="0" wp14:anchorId="6E6EC96B" wp14:editId="0DEA79A7">
            <wp:extent cx="2981325" cy="1524000"/>
            <wp:effectExtent l="0" t="0" r="9525" b="0"/>
            <wp:docPr id="6" name="Picture 6" descr="http://www.howardcc.edu/sebin/l/o/libr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howardcc.edu/sebin/l/o/librar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20DB1" w14:textId="6896A668" w:rsidR="00F750A2" w:rsidRPr="006C734E" w:rsidRDefault="00F750A2" w:rsidP="003E43B2">
      <w:pPr>
        <w:spacing w:after="0"/>
        <w:jc w:val="center"/>
        <w:rPr>
          <w:i/>
        </w:rPr>
      </w:pPr>
      <w:r w:rsidRPr="006C734E">
        <w:rPr>
          <w:i/>
        </w:rPr>
        <w:t>Figure 1: Design of Interactive Study Area (Left) Vs. Design of Isolated Room in Quiet Study area (right)</w:t>
      </w:r>
      <w:bookmarkStart w:id="0" w:name="_GoBack"/>
      <w:bookmarkEnd w:id="0"/>
    </w:p>
    <w:p w14:paraId="28386572" w14:textId="77777777" w:rsidR="00FB4BC2" w:rsidRDefault="00FB4BC2" w:rsidP="003E43B2">
      <w:pPr>
        <w:spacing w:after="0"/>
        <w:rPr>
          <w:i/>
          <w:sz w:val="32"/>
          <w:szCs w:val="32"/>
        </w:rPr>
      </w:pPr>
    </w:p>
    <w:p w14:paraId="7408672E" w14:textId="044464BA" w:rsidR="00E10B8A" w:rsidRDefault="00E10B8A" w:rsidP="003E43B2">
      <w:pPr>
        <w:spacing w:after="0"/>
        <w:rPr>
          <w:i/>
          <w:sz w:val="32"/>
          <w:szCs w:val="32"/>
        </w:rPr>
      </w:pPr>
      <w:r>
        <w:rPr>
          <w:i/>
          <w:sz w:val="32"/>
          <w:szCs w:val="32"/>
        </w:rPr>
        <w:t>Accommodatin</w:t>
      </w:r>
      <w:r w:rsidR="007D020E">
        <w:rPr>
          <w:i/>
          <w:sz w:val="32"/>
          <w:szCs w:val="32"/>
        </w:rPr>
        <w:t xml:space="preserve">g of all Types of Study </w:t>
      </w:r>
      <w:r>
        <w:rPr>
          <w:i/>
          <w:sz w:val="32"/>
          <w:szCs w:val="32"/>
        </w:rPr>
        <w:t>Materials (Especially Laptops)</w:t>
      </w:r>
    </w:p>
    <w:p w14:paraId="016B3624" w14:textId="3C0C1AA0" w:rsidR="00A5027A" w:rsidRDefault="00E10B8A" w:rsidP="003E43B2">
      <w:pPr>
        <w:spacing w:after="0"/>
      </w:pPr>
      <w:r>
        <w:t>Users prefe</w:t>
      </w:r>
      <w:r w:rsidR="008127EA">
        <w:t>r spaces that allow them to use</w:t>
      </w:r>
      <w:r w:rsidR="007D020E">
        <w:t xml:space="preserve"> all types of </w:t>
      </w:r>
      <w:r>
        <w:t>study materials, especially laptops</w:t>
      </w:r>
      <w:r w:rsidR="0098069F">
        <w:t>,</w:t>
      </w:r>
      <w:r>
        <w:t xml:space="preserve"> which are universally </w:t>
      </w:r>
      <w:r w:rsidR="008127EA">
        <w:t>utilized</w:t>
      </w:r>
      <w:r>
        <w:t xml:space="preserve"> in every kind of space.</w:t>
      </w:r>
      <w:r w:rsidR="005A6A93">
        <w:t xml:space="preserve"> More materials </w:t>
      </w:r>
      <w:r w:rsidR="00A21322">
        <w:t>are</w:t>
      </w:r>
      <w:r w:rsidR="005A6A93">
        <w:t xml:space="preserve"> preferred for versatility when studying. </w:t>
      </w:r>
    </w:p>
    <w:p w14:paraId="169898C3" w14:textId="77777777" w:rsidR="00FB4BC2" w:rsidRDefault="00FB4BC2" w:rsidP="003E43B2">
      <w:pPr>
        <w:spacing w:after="0"/>
        <w:rPr>
          <w:b/>
        </w:rPr>
      </w:pPr>
    </w:p>
    <w:p w14:paraId="0908C23F" w14:textId="77777777" w:rsidR="00E10B8A" w:rsidRDefault="00E10B8A" w:rsidP="003E43B2">
      <w:pPr>
        <w:spacing w:after="0"/>
        <w:rPr>
          <w:b/>
        </w:rPr>
      </w:pPr>
      <w:r>
        <w:rPr>
          <w:b/>
        </w:rPr>
        <w:t>Proof</w:t>
      </w:r>
    </w:p>
    <w:p w14:paraId="3010A316" w14:textId="53BB0CBC" w:rsidR="006005BB" w:rsidRDefault="006005BB" w:rsidP="003E43B2">
      <w:pPr>
        <w:spacing w:after="0"/>
      </w:pPr>
      <w:r>
        <w:t xml:space="preserve">In all of my research sessions, I found laptops to </w:t>
      </w:r>
      <w:r w:rsidR="007D020E">
        <w:t>be the most popular study material</w:t>
      </w:r>
      <w:r w:rsidR="007133F9">
        <w:t xml:space="preserve">, and </w:t>
      </w:r>
      <w:r>
        <w:t xml:space="preserve">spaces that could best accommodate </w:t>
      </w:r>
      <w:r w:rsidR="008127EA">
        <w:t>laptops</w:t>
      </w:r>
      <w:r>
        <w:t xml:space="preserve"> were preferred by users. In my field research</w:t>
      </w:r>
      <w:r w:rsidR="00DA2977">
        <w:t>, of 59 total users from the three spaces</w:t>
      </w:r>
      <w:r>
        <w:t xml:space="preserve"> I observed</w:t>
      </w:r>
      <w:r w:rsidR="00DA2977">
        <w:t>,</w:t>
      </w:r>
      <w:r>
        <w:t xml:space="preserve"> the majority of study spaces users </w:t>
      </w:r>
      <w:r w:rsidR="00DA2977">
        <w:t xml:space="preserve">were </w:t>
      </w:r>
      <w:r>
        <w:t>using laptops</w:t>
      </w:r>
      <w:r w:rsidR="00445A5F">
        <w:t xml:space="preserve"> (49%)</w:t>
      </w:r>
      <w:r w:rsidR="00A21322">
        <w:t xml:space="preserve">. </w:t>
      </w:r>
      <w:r>
        <w:t>After complet</w:t>
      </w:r>
      <w:r w:rsidR="00445A5F">
        <w:t>ing my interviews</w:t>
      </w:r>
      <w:r w:rsidR="007A6769">
        <w:t>,</w:t>
      </w:r>
      <w:r w:rsidR="00445A5F">
        <w:t xml:space="preserve"> 100% </w:t>
      </w:r>
      <w:r>
        <w:t xml:space="preserve">of my participants </w:t>
      </w:r>
      <w:r w:rsidR="00445A5F">
        <w:t xml:space="preserve">felt </w:t>
      </w:r>
      <w:r w:rsidR="007D020E">
        <w:t>laptops were the best material</w:t>
      </w:r>
      <w:r>
        <w:t xml:space="preserve"> for productive studying, especially for readings and lectures. This was illustrated best by P3 who said, “It’s easier to get to m</w:t>
      </w:r>
      <w:r w:rsidR="007133F9">
        <w:t>ultiple resources [on a laptop].”</w:t>
      </w:r>
      <w:r>
        <w:t xml:space="preserve"> </w:t>
      </w:r>
    </w:p>
    <w:p w14:paraId="37663FF8" w14:textId="77777777" w:rsidR="0098069F" w:rsidRDefault="0098069F" w:rsidP="003E43B2">
      <w:pPr>
        <w:spacing w:after="0"/>
      </w:pPr>
    </w:p>
    <w:p w14:paraId="094D4AD1" w14:textId="68B0F0BF" w:rsidR="006005BB" w:rsidRPr="006005BB" w:rsidRDefault="006005BB" w:rsidP="003E43B2">
      <w:pPr>
        <w:spacing w:after="0"/>
      </w:pPr>
      <w:r>
        <w:t>In my surveys</w:t>
      </w:r>
      <w:r w:rsidR="0098069F">
        <w:t>,</w:t>
      </w:r>
      <w:r>
        <w:t xml:space="preserve"> I confirmed laptops were universally used in </w:t>
      </w:r>
      <w:r w:rsidR="00445A5F">
        <w:t xml:space="preserve">campus </w:t>
      </w:r>
      <w:r>
        <w:t>spaces</w:t>
      </w:r>
      <w:r w:rsidR="007A6769">
        <w:t>,</w:t>
      </w:r>
      <w:r>
        <w:t xml:space="preserve"> seen in the majority of users calling laptops their preferred s</w:t>
      </w:r>
      <w:r w:rsidR="00C44934">
        <w:t xml:space="preserve">tudy </w:t>
      </w:r>
      <w:r w:rsidR="007D020E">
        <w:t>material</w:t>
      </w:r>
      <w:r w:rsidR="00445A5F">
        <w:t xml:space="preserve"> (62%)</w:t>
      </w:r>
      <w:r w:rsidR="00C44934">
        <w:t xml:space="preserve">. Notebooks, </w:t>
      </w:r>
      <w:r w:rsidR="005569BE">
        <w:t>p</w:t>
      </w:r>
      <w:r w:rsidR="00C44934">
        <w:t>hysical books,</w:t>
      </w:r>
      <w:r w:rsidR="00137022">
        <w:t xml:space="preserve"> and</w:t>
      </w:r>
      <w:r w:rsidR="00C44934">
        <w:t xml:space="preserve"> </w:t>
      </w:r>
      <w:r>
        <w:t xml:space="preserve">textbooks were also used in all of the main study spaces, and library spaces specifically were found to </w:t>
      </w:r>
      <w:r w:rsidR="00137022">
        <w:t>include</w:t>
      </w:r>
      <w:r>
        <w:t xml:space="preserve"> group studying </w:t>
      </w:r>
      <w:r w:rsidR="007D020E">
        <w:t>an</w:t>
      </w:r>
      <w:r w:rsidR="00137022">
        <w:t>d library desktops</w:t>
      </w:r>
      <w:r>
        <w:t xml:space="preserve">.    </w:t>
      </w:r>
    </w:p>
    <w:p w14:paraId="77293C37" w14:textId="77777777" w:rsidR="00FB4BC2" w:rsidRDefault="00FB4BC2" w:rsidP="003E43B2">
      <w:pPr>
        <w:spacing w:after="0"/>
        <w:rPr>
          <w:b/>
        </w:rPr>
      </w:pPr>
    </w:p>
    <w:p w14:paraId="753BD827" w14:textId="77777777" w:rsidR="006005BB" w:rsidRDefault="006005BB" w:rsidP="003E43B2">
      <w:pPr>
        <w:spacing w:after="0"/>
        <w:rPr>
          <w:b/>
        </w:rPr>
      </w:pPr>
      <w:r>
        <w:rPr>
          <w:b/>
        </w:rPr>
        <w:t>Discussion</w:t>
      </w:r>
    </w:p>
    <w:p w14:paraId="13E03669" w14:textId="05505D76" w:rsidR="00BF141F" w:rsidRDefault="00137022" w:rsidP="003E43B2">
      <w:pPr>
        <w:spacing w:after="0"/>
      </w:pPr>
      <w:r>
        <w:t>Laptops specifically led</w:t>
      </w:r>
      <w:r w:rsidR="0098069F">
        <w:t xml:space="preserve"> to greater productivity among</w:t>
      </w:r>
      <w:r w:rsidR="00ED32DD">
        <w:t xml:space="preserve"> users and allowed users to </w:t>
      </w:r>
      <w:r>
        <w:t xml:space="preserve">easily </w:t>
      </w:r>
      <w:r w:rsidR="00ED32DD">
        <w:t xml:space="preserve">access resources, making </w:t>
      </w:r>
      <w:r>
        <w:t>them</w:t>
      </w:r>
      <w:r w:rsidR="00ED32DD">
        <w:t xml:space="preserve"> a key factor in an ideal study space. Though not all users need laptops, they are used con</w:t>
      </w:r>
      <w:r>
        <w:t>sistently in every type of space</w:t>
      </w:r>
      <w:r w:rsidR="0098069F">
        <w:t>,</w:t>
      </w:r>
      <w:r>
        <w:t xml:space="preserve"> so</w:t>
      </w:r>
      <w:r w:rsidR="0098069F">
        <w:t xml:space="preserve"> </w:t>
      </w:r>
      <w:r w:rsidR="00ED32DD">
        <w:t>spaces should accommodate laptop users</w:t>
      </w:r>
      <w:r>
        <w:t>.</w:t>
      </w:r>
      <w:r w:rsidR="00ED32DD">
        <w:t xml:space="preserve"> </w:t>
      </w:r>
      <w:r w:rsidR="0098069F">
        <w:t>Those who</w:t>
      </w:r>
      <w:r>
        <w:t xml:space="preserve"> will</w:t>
      </w:r>
      <w:r w:rsidR="0098069F">
        <w:t xml:space="preserve"> be using those spaces </w:t>
      </w:r>
      <w:r w:rsidR="00ED32DD">
        <w:t>need comfort, outlets, and var</w:t>
      </w:r>
      <w:r>
        <w:t xml:space="preserve">ying places to sit like couches, chairs, </w:t>
      </w:r>
      <w:r w:rsidR="00ED32DD">
        <w:t>desks and tables. Users</w:t>
      </w:r>
      <w:r w:rsidR="00BF141F">
        <w:t xml:space="preserve"> also see</w:t>
      </w:r>
      <w:r>
        <w:t>m to like spaces like libraries that</w:t>
      </w:r>
      <w:r w:rsidR="00BF141F">
        <w:t xml:space="preserve"> allow for notebook, textbook, group studying, and desktop use, </w:t>
      </w:r>
      <w:r w:rsidR="00ED32DD">
        <w:t xml:space="preserve">which means ideal spaces are not solely designed for laptop use. </w:t>
      </w:r>
      <w:r w:rsidR="007255B6">
        <w:t>As seen in my framework, it is important to have a laptop-friendly space that also al</w:t>
      </w:r>
      <w:r w:rsidR="007133F9">
        <w:t xml:space="preserve">lows </w:t>
      </w:r>
      <w:r w:rsidR="007255B6">
        <w:t>f</w:t>
      </w:r>
      <w:r w:rsidR="007133F9">
        <w:t>or these other</w:t>
      </w:r>
      <w:r w:rsidR="007255B6">
        <w:t xml:space="preserve"> materials</w:t>
      </w:r>
      <w:r w:rsidR="007133F9">
        <w:t>.</w:t>
      </w:r>
      <w:r w:rsidR="007255B6">
        <w:t xml:space="preserve"> </w:t>
      </w:r>
    </w:p>
    <w:p w14:paraId="03F7FFD9" w14:textId="77777777" w:rsidR="00FB4BC2" w:rsidRDefault="00FB4BC2" w:rsidP="003E43B2">
      <w:pPr>
        <w:spacing w:after="0"/>
        <w:rPr>
          <w:b/>
        </w:rPr>
      </w:pPr>
    </w:p>
    <w:p w14:paraId="1B941B1C" w14:textId="77777777" w:rsidR="00BF141F" w:rsidRDefault="004F5DEB" w:rsidP="003E43B2">
      <w:pPr>
        <w:spacing w:after="0"/>
        <w:rPr>
          <w:b/>
        </w:rPr>
      </w:pPr>
      <w:r>
        <w:rPr>
          <w:b/>
        </w:rPr>
        <w:t>Design Recommendations</w:t>
      </w:r>
    </w:p>
    <w:p w14:paraId="1BE0C728" w14:textId="022D438C" w:rsidR="00BF141F" w:rsidRDefault="00BF141F" w:rsidP="003E43B2">
      <w:pPr>
        <w:spacing w:after="0"/>
      </w:pPr>
      <w:r>
        <w:t xml:space="preserve">New study spaces should be designed to be extremely laptop-friendly. To do this, there should be outlets by every work station for laptop charging, and many different </w:t>
      </w:r>
      <w:r w:rsidR="00137022">
        <w:t xml:space="preserve">work areas to </w:t>
      </w:r>
      <w:r>
        <w:t>acc</w:t>
      </w:r>
      <w:r w:rsidR="00137022">
        <w:t>ommodate for laptop versatility by</w:t>
      </w:r>
      <w:r w:rsidR="006059DF">
        <w:t xml:space="preserve"> having individual </w:t>
      </w:r>
      <w:r>
        <w:t>desks, small tables, large tables, couches, and chairs</w:t>
      </w:r>
      <w:r w:rsidR="00A21322">
        <w:t xml:space="preserve"> in every </w:t>
      </w:r>
      <w:r w:rsidR="006059DF">
        <w:t>space</w:t>
      </w:r>
      <w:r>
        <w:t xml:space="preserve">. </w:t>
      </w:r>
      <w:r w:rsidR="006B7BCE">
        <w:t xml:space="preserve">This is well illustrated in Figure 2 below which shows tables, couches, and lounge chairs integrated </w:t>
      </w:r>
      <w:r w:rsidR="00137022">
        <w:t>into</w:t>
      </w:r>
      <w:r w:rsidR="006B7BCE">
        <w:t xml:space="preserve"> a study space, allowing for the user to choose </w:t>
      </w:r>
      <w:r w:rsidR="007133F9">
        <w:t xml:space="preserve">what will make them most </w:t>
      </w:r>
      <w:r w:rsidR="006B7BCE">
        <w:t xml:space="preserve">comfortable. </w:t>
      </w:r>
      <w:r w:rsidR="0098069F">
        <w:t xml:space="preserve">Many times, </w:t>
      </w:r>
      <w:r>
        <w:t>laptop use also involves listening to lectures or music for productive work, so study spa</w:t>
      </w:r>
      <w:r w:rsidR="0098069F">
        <w:t>ces should provide headphones for</w:t>
      </w:r>
      <w:r>
        <w:t xml:space="preserve"> users to borrow upon entrance to the space. The many study methods a</w:t>
      </w:r>
      <w:r w:rsidR="00A127C8">
        <w:t xml:space="preserve">nd materials offered in libraries lend to their </w:t>
      </w:r>
      <w:r>
        <w:t>popular</w:t>
      </w:r>
      <w:r w:rsidR="00A127C8">
        <w:t>ity</w:t>
      </w:r>
      <w:r>
        <w:t xml:space="preserve">, so study spaces should have </w:t>
      </w:r>
      <w:r w:rsidR="006059DF">
        <w:t xml:space="preserve">tables dedicated to </w:t>
      </w:r>
      <w:r>
        <w:t>notebook work and reading</w:t>
      </w:r>
      <w:r w:rsidR="00A127C8">
        <w:t>, as well as group work.</w:t>
      </w:r>
      <w:r>
        <w:t xml:space="preserve"> </w:t>
      </w:r>
      <w:r w:rsidR="00A127C8">
        <w:t>Also there should be t</w:t>
      </w:r>
      <w:r w:rsidR="006059DF">
        <w:t xml:space="preserve">able </w:t>
      </w:r>
      <w:r>
        <w:t>light</w:t>
      </w:r>
      <w:r w:rsidR="006059DF">
        <w:t>s at each study spot</w:t>
      </w:r>
      <w:r>
        <w:t xml:space="preserve"> for reading, and </w:t>
      </w:r>
      <w:r w:rsidR="006059DF">
        <w:t xml:space="preserve">a section with </w:t>
      </w:r>
      <w:r>
        <w:t xml:space="preserve">desktop computers. </w:t>
      </w:r>
    </w:p>
    <w:p w14:paraId="5B87320A" w14:textId="681964CB" w:rsidR="00AB7533" w:rsidRDefault="00AB7533" w:rsidP="00DA7754">
      <w:pPr>
        <w:jc w:val="center"/>
      </w:pPr>
      <w:r>
        <w:rPr>
          <w:noProof/>
        </w:rPr>
        <w:drawing>
          <wp:inline distT="0" distB="0" distL="0" distR="0" wp14:anchorId="19837985" wp14:editId="6CC9CDD6">
            <wp:extent cx="2657475" cy="1495140"/>
            <wp:effectExtent l="0" t="0" r="0" b="0"/>
            <wp:docPr id="1" name="Picture 1" descr="http://2.bp.blogspot.com/-W-2D5Szusws/URGaCwOyp9I/AAAAAAAABG0/rmhr68U7AfA/s1600/COG_06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W-2D5Szusws/URGaCwOyp9I/AAAAAAAABG0/rmhr68U7AfA/s1600/COG_065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01" cy="1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5B95" w14:textId="269AD384" w:rsidR="009E168F" w:rsidRPr="006C734E" w:rsidRDefault="009E168F" w:rsidP="003E43B2">
      <w:pPr>
        <w:spacing w:after="0"/>
        <w:jc w:val="center"/>
        <w:rPr>
          <w:i/>
        </w:rPr>
      </w:pPr>
      <w:r w:rsidRPr="006C734E">
        <w:rPr>
          <w:i/>
        </w:rPr>
        <w:t>Figure 2: Design o</w:t>
      </w:r>
      <w:r w:rsidR="005F59AF" w:rsidRPr="006C734E">
        <w:rPr>
          <w:i/>
        </w:rPr>
        <w:t>f a Laptop-Friendly Space with Varied Forms of S</w:t>
      </w:r>
      <w:r w:rsidRPr="006C734E">
        <w:rPr>
          <w:i/>
        </w:rPr>
        <w:t xml:space="preserve">eating for </w:t>
      </w:r>
      <w:r w:rsidR="005F59AF" w:rsidRPr="006C734E">
        <w:rPr>
          <w:i/>
        </w:rPr>
        <w:t>S</w:t>
      </w:r>
      <w:r w:rsidRPr="006C734E">
        <w:rPr>
          <w:i/>
        </w:rPr>
        <w:t xml:space="preserve">tudent </w:t>
      </w:r>
      <w:r w:rsidR="005F59AF" w:rsidRPr="006C734E">
        <w:rPr>
          <w:i/>
        </w:rPr>
        <w:t>W</w:t>
      </w:r>
      <w:r w:rsidRPr="006C734E">
        <w:rPr>
          <w:i/>
        </w:rPr>
        <w:t>ork</w:t>
      </w:r>
    </w:p>
    <w:p w14:paraId="5C1ED0AB" w14:textId="77777777" w:rsidR="00FB4BC2" w:rsidRDefault="00FB4BC2" w:rsidP="003E43B2">
      <w:pPr>
        <w:spacing w:after="0"/>
        <w:rPr>
          <w:i/>
          <w:sz w:val="32"/>
          <w:szCs w:val="32"/>
        </w:rPr>
      </w:pPr>
    </w:p>
    <w:p w14:paraId="19451609" w14:textId="5888E9F2" w:rsidR="00BF141F" w:rsidRDefault="00BF141F" w:rsidP="003E43B2">
      <w:pPr>
        <w:spacing w:after="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Conveniently Located and Available </w:t>
      </w:r>
    </w:p>
    <w:p w14:paraId="0A6B1C35" w14:textId="2BA27857" w:rsidR="00AF00EF" w:rsidRDefault="00BF141F" w:rsidP="003E43B2">
      <w:pPr>
        <w:spacing w:after="0"/>
      </w:pPr>
      <w:r>
        <w:t>Users preferred study spaces that were located c</w:t>
      </w:r>
      <w:r w:rsidR="000F18A6">
        <w:t>lose to their classes, food/</w:t>
      </w:r>
      <w:r>
        <w:t>drink, housing, and that were readily open/available for studying</w:t>
      </w:r>
      <w:r w:rsidR="005A6A93">
        <w:t>. These factors</w:t>
      </w:r>
      <w:r>
        <w:t xml:space="preserve"> allowed students to be more efficient.</w:t>
      </w:r>
    </w:p>
    <w:p w14:paraId="253809BD" w14:textId="77777777" w:rsidR="00FB4BC2" w:rsidRDefault="00FB4BC2" w:rsidP="003E43B2">
      <w:pPr>
        <w:spacing w:after="0"/>
        <w:rPr>
          <w:b/>
        </w:rPr>
      </w:pPr>
    </w:p>
    <w:p w14:paraId="4A25D4ED" w14:textId="77777777" w:rsidR="00AF00EF" w:rsidRDefault="00AF00EF" w:rsidP="003E43B2">
      <w:pPr>
        <w:spacing w:after="0"/>
        <w:rPr>
          <w:b/>
        </w:rPr>
      </w:pPr>
      <w:r>
        <w:rPr>
          <w:b/>
        </w:rPr>
        <w:t>Proof</w:t>
      </w:r>
    </w:p>
    <w:p w14:paraId="2866605D" w14:textId="22E6E23A" w:rsidR="003676B2" w:rsidRDefault="003146AD" w:rsidP="003E43B2">
      <w:pPr>
        <w:spacing w:after="0"/>
      </w:pPr>
      <w:r>
        <w:t xml:space="preserve">My interviews showed that </w:t>
      </w:r>
      <w:r w:rsidR="003676B2">
        <w:t>having food/drink</w:t>
      </w:r>
      <w:r w:rsidR="00151020">
        <w:t xml:space="preserve"> close by was mentioned by 100% of</w:t>
      </w:r>
      <w:r w:rsidR="005A126D">
        <w:t xml:space="preserve"> users</w:t>
      </w:r>
      <w:r w:rsidR="003676B2">
        <w:t xml:space="preserve"> </w:t>
      </w:r>
      <w:r w:rsidR="000F18A6">
        <w:t>because</w:t>
      </w:r>
      <w:r>
        <w:t xml:space="preserve"> it leads</w:t>
      </w:r>
      <w:r w:rsidR="003676B2">
        <w:t xml:space="preserve"> to </w:t>
      </w:r>
      <w:r>
        <w:t>efficient</w:t>
      </w:r>
      <w:r w:rsidR="003676B2">
        <w:t xml:space="preserve"> study time, seen </w:t>
      </w:r>
      <w:r>
        <w:t>by</w:t>
      </w:r>
      <w:r w:rsidR="003676B2">
        <w:t xml:space="preserve"> P1 stating, “If my study space is close to food I can grab a snack quickly and I can get more work done.” Users also cho</w:t>
      </w:r>
      <w:r w:rsidR="000F18A6">
        <w:t>o</w:t>
      </w:r>
      <w:r w:rsidR="003676B2">
        <w:t>se study spaces close to classes, which is why two of my three parti</w:t>
      </w:r>
      <w:r w:rsidR="001D2F28">
        <w:t>ci</w:t>
      </w:r>
      <w:r w:rsidR="003676B2">
        <w:t xml:space="preserve">pants felt libraries were most </w:t>
      </w:r>
      <w:r w:rsidR="001D2F28">
        <w:t>convenient</w:t>
      </w:r>
      <w:r w:rsidR="001C557A">
        <w:t>. A</w:t>
      </w:r>
      <w:r w:rsidR="003676B2">
        <w:t xml:space="preserve">vailability was </w:t>
      </w:r>
      <w:r>
        <w:t>another factor,</w:t>
      </w:r>
      <w:r w:rsidR="003676B2">
        <w:t xml:space="preserve"> </w:t>
      </w:r>
      <w:r>
        <w:t xml:space="preserve">as </w:t>
      </w:r>
      <w:r w:rsidR="005A126D">
        <w:t xml:space="preserve">seen </w:t>
      </w:r>
      <w:r>
        <w:t>by</w:t>
      </w:r>
      <w:r w:rsidR="003676B2">
        <w:t xml:space="preserve"> P1</w:t>
      </w:r>
      <w:r w:rsidR="005A126D">
        <w:t xml:space="preserve"> saying</w:t>
      </w:r>
      <w:r w:rsidR="003676B2">
        <w:t>, “[The ideal space] would also have a lot of table space and availability so I’m not worried about finding a place to study.”</w:t>
      </w:r>
    </w:p>
    <w:p w14:paraId="71DA546D" w14:textId="77777777" w:rsidR="00FB4BC2" w:rsidRDefault="00FB4BC2" w:rsidP="003E43B2">
      <w:pPr>
        <w:spacing w:after="0"/>
      </w:pPr>
    </w:p>
    <w:p w14:paraId="7A8BA892" w14:textId="15681953" w:rsidR="003676B2" w:rsidRPr="003676B2" w:rsidRDefault="003676B2" w:rsidP="003E43B2">
      <w:pPr>
        <w:spacing w:after="0"/>
      </w:pPr>
      <w:r>
        <w:t>In my survey, I saw that juniors were</w:t>
      </w:r>
      <w:r w:rsidR="004F5DEB">
        <w:t xml:space="preserve"> the largest demographic</w:t>
      </w:r>
      <w:r w:rsidR="00CE35A9">
        <w:t xml:space="preserve"> of my participants</w:t>
      </w:r>
      <w:r w:rsidR="00151020">
        <w:t xml:space="preserve"> (56%)</w:t>
      </w:r>
      <w:r>
        <w:t xml:space="preserve">, </w:t>
      </w:r>
      <w:r w:rsidR="003146AD">
        <w:t>and that</w:t>
      </w:r>
      <w:r>
        <w:t xml:space="preserve"> </w:t>
      </w:r>
      <w:r w:rsidR="00151020">
        <w:t>participants</w:t>
      </w:r>
      <w:r w:rsidR="00CE35A9">
        <w:t xml:space="preserve"> as a whole</w:t>
      </w:r>
      <w:r w:rsidR="003146AD">
        <w:t xml:space="preserve"> only </w:t>
      </w:r>
      <w:r>
        <w:t>used study s</w:t>
      </w:r>
      <w:r w:rsidR="00151020">
        <w:t xml:space="preserve">paces </w:t>
      </w:r>
      <w:r w:rsidR="004F5DEB">
        <w:t>1-2 days per week</w:t>
      </w:r>
      <w:r w:rsidR="00151020">
        <w:t xml:space="preserve"> (41%)</w:t>
      </w:r>
      <w:r>
        <w:t>.</w:t>
      </w:r>
      <w:r w:rsidR="001D2F28">
        <w:t xml:space="preserve"> I hypothesized that this was the result of </w:t>
      </w:r>
      <w:r w:rsidR="003146AD">
        <w:t>upper</w:t>
      </w:r>
      <w:r w:rsidR="004F5DEB">
        <w:t xml:space="preserve">classmen living </w:t>
      </w:r>
      <w:r w:rsidR="003146AD">
        <w:t>far</w:t>
      </w:r>
      <w:r w:rsidR="001D2F28">
        <w:t xml:space="preserve"> from on-campus spaces. I also saw that librar</w:t>
      </w:r>
      <w:r w:rsidR="003146AD">
        <w:t xml:space="preserve">ies were considered </w:t>
      </w:r>
      <w:r w:rsidR="00876ACE">
        <w:t>convenient spaces (70%), likely for</w:t>
      </w:r>
      <w:r w:rsidR="001D2F28">
        <w:t xml:space="preserve"> food/dr</w:t>
      </w:r>
      <w:r w:rsidR="00876ACE">
        <w:t xml:space="preserve">ink </w:t>
      </w:r>
      <w:r w:rsidR="003146AD">
        <w:t>and</w:t>
      </w:r>
      <w:r w:rsidR="00876ACE">
        <w:t xml:space="preserve"> </w:t>
      </w:r>
      <w:r w:rsidR="001D2F28">
        <w:t xml:space="preserve">proximity to classes, but </w:t>
      </w:r>
      <w:r w:rsidR="004F5DEB">
        <w:t>no users</w:t>
      </w:r>
      <w:r w:rsidR="001D2F28">
        <w:t xml:space="preserve"> labeled classroo</w:t>
      </w:r>
      <w:r w:rsidR="004F5DEB">
        <w:t xml:space="preserve">ms and dorms as </w:t>
      </w:r>
      <w:r w:rsidR="001D2F28">
        <w:t xml:space="preserve">convenient. </w:t>
      </w:r>
      <w:r>
        <w:t xml:space="preserve">       </w:t>
      </w:r>
    </w:p>
    <w:p w14:paraId="5FE5BF59" w14:textId="77777777" w:rsidR="00FB4BC2" w:rsidRDefault="00FB4BC2" w:rsidP="003E43B2">
      <w:pPr>
        <w:spacing w:after="0"/>
        <w:rPr>
          <w:b/>
        </w:rPr>
      </w:pPr>
    </w:p>
    <w:p w14:paraId="5ACEF29B" w14:textId="77777777" w:rsidR="003676B2" w:rsidRDefault="001D2F28" w:rsidP="003E43B2">
      <w:pPr>
        <w:spacing w:after="0"/>
        <w:rPr>
          <w:b/>
        </w:rPr>
      </w:pPr>
      <w:r>
        <w:rPr>
          <w:b/>
        </w:rPr>
        <w:t>Discussion</w:t>
      </w:r>
    </w:p>
    <w:p w14:paraId="503E1107" w14:textId="26024061" w:rsidR="001D2F28" w:rsidRDefault="007255B6" w:rsidP="003E43B2">
      <w:pPr>
        <w:spacing w:after="0"/>
      </w:pPr>
      <w:r>
        <w:t xml:space="preserve">As seen in my framework, it is </w:t>
      </w:r>
      <w:r w:rsidR="003146AD">
        <w:t>important to have</w:t>
      </w:r>
      <w:r>
        <w:t xml:space="preserve"> </w:t>
      </w:r>
      <w:r w:rsidR="003146AD">
        <w:t>proximity to resources,</w:t>
      </w:r>
      <w:r w:rsidR="000F18A6">
        <w:t xml:space="preserve"> as well as have study spots</w:t>
      </w:r>
      <w:r>
        <w:t xml:space="preserve"> be available for when students arrive. It </w:t>
      </w:r>
      <w:r w:rsidR="001D2F28">
        <w:t>takes time to get to study spaces after class</w:t>
      </w:r>
      <w:r w:rsidR="003146AD">
        <w:t>,</w:t>
      </w:r>
      <w:r w:rsidR="001D2F28">
        <w:t xml:space="preserve"> </w:t>
      </w:r>
      <w:r>
        <w:t>or from home if users</w:t>
      </w:r>
      <w:r w:rsidR="003146AD">
        <w:t xml:space="preserve"> are far away.</w:t>
      </w:r>
      <w:r w:rsidR="001D2F28">
        <w:t xml:space="preserve"> </w:t>
      </w:r>
      <w:r w:rsidR="003146AD">
        <w:t>This applies to</w:t>
      </w:r>
      <w:r w:rsidR="001D2F28">
        <w:t xml:space="preserve"> food/dr</w:t>
      </w:r>
      <w:r>
        <w:t xml:space="preserve">ink if the nearest </w:t>
      </w:r>
      <w:r w:rsidR="003146AD">
        <w:t xml:space="preserve">location </w:t>
      </w:r>
      <w:r>
        <w:t>is not close to the space</w:t>
      </w:r>
      <w:r w:rsidR="001D2F28">
        <w:t xml:space="preserve">. </w:t>
      </w:r>
      <w:r w:rsidR="00694445">
        <w:t xml:space="preserve">This is an important finding because convenience allows users to not waste time </w:t>
      </w:r>
      <w:r w:rsidR="003146AD">
        <w:t>going places</w:t>
      </w:r>
      <w:r w:rsidR="00694445">
        <w:t xml:space="preserve">, and instead use that time for productive studying. </w:t>
      </w:r>
      <w:r w:rsidR="003146AD">
        <w:t>Concerning</w:t>
      </w:r>
      <w:r w:rsidR="00694445">
        <w:t xml:space="preserve"> </w:t>
      </w:r>
      <w:r w:rsidR="001D2F28">
        <w:t>availability,</w:t>
      </w:r>
      <w:r w:rsidR="000F18A6">
        <w:t xml:space="preserve"> spaces with ample room </w:t>
      </w:r>
      <w:r w:rsidR="001D2F28">
        <w:t xml:space="preserve">are enjoyed by users </w:t>
      </w:r>
      <w:r w:rsidR="003146AD">
        <w:t>because they</w:t>
      </w:r>
      <w:r w:rsidR="001D2F28">
        <w:t xml:space="preserve"> </w:t>
      </w:r>
      <w:r w:rsidR="003146AD">
        <w:t>don’</w:t>
      </w:r>
      <w:r w:rsidR="001D2F28">
        <w:t xml:space="preserve">t have to waste time looking for </w:t>
      </w:r>
      <w:r w:rsidR="003146AD">
        <w:t>a spot</w:t>
      </w:r>
      <w:r w:rsidR="00E67C8C">
        <w:t>.</w:t>
      </w:r>
      <w:r w:rsidR="00694445">
        <w:t xml:space="preserve"> </w:t>
      </w:r>
    </w:p>
    <w:p w14:paraId="0BEAACF3" w14:textId="77777777" w:rsidR="00FB4BC2" w:rsidRDefault="00FB4BC2" w:rsidP="003E43B2">
      <w:pPr>
        <w:spacing w:after="0"/>
        <w:rPr>
          <w:b/>
        </w:rPr>
      </w:pPr>
    </w:p>
    <w:p w14:paraId="782028E2" w14:textId="77777777" w:rsidR="001D2F28" w:rsidRDefault="001D2F28" w:rsidP="003E43B2">
      <w:pPr>
        <w:spacing w:after="0"/>
        <w:rPr>
          <w:b/>
        </w:rPr>
      </w:pPr>
      <w:r>
        <w:rPr>
          <w:b/>
        </w:rPr>
        <w:t>De</w:t>
      </w:r>
      <w:r w:rsidR="004F5DEB">
        <w:rPr>
          <w:b/>
        </w:rPr>
        <w:t>sign Recommendations</w:t>
      </w:r>
    </w:p>
    <w:p w14:paraId="04CD6329" w14:textId="68D595E4" w:rsidR="007C5CF3" w:rsidRDefault="001D2F28" w:rsidP="003E43B2">
      <w:pPr>
        <w:spacing w:after="0"/>
      </w:pPr>
      <w:r>
        <w:t xml:space="preserve">All these factors </w:t>
      </w:r>
      <w:r w:rsidR="003146AD">
        <w:t>imply</w:t>
      </w:r>
      <w:r>
        <w:t xml:space="preserve"> a need for study spaces that allow for efficiency, so </w:t>
      </w:r>
      <w:r w:rsidR="005A126D">
        <w:t>future spaces</w:t>
      </w:r>
      <w:r>
        <w:t xml:space="preserve"> should have</w:t>
      </w:r>
      <w:r w:rsidR="00AF6C8D">
        <w:t xml:space="preserve"> </w:t>
      </w:r>
      <w:r w:rsidR="00DA7363">
        <w:t xml:space="preserve">a </w:t>
      </w:r>
      <w:r w:rsidR="00E232C7">
        <w:t>cafe</w:t>
      </w:r>
      <w:r w:rsidR="00DA7363">
        <w:t xml:space="preserve"> area </w:t>
      </w:r>
      <w:r w:rsidR="00AB7533">
        <w:t xml:space="preserve">within the space </w:t>
      </w:r>
      <w:r w:rsidR="00C11197">
        <w:t xml:space="preserve">where users can </w:t>
      </w:r>
      <w:r w:rsidR="003146AD">
        <w:t>get</w:t>
      </w:r>
      <w:r w:rsidR="00AF6C8D">
        <w:t xml:space="preserve"> </w:t>
      </w:r>
      <w:r w:rsidR="00C11197">
        <w:t>foo</w:t>
      </w:r>
      <w:r w:rsidR="00AF6C8D">
        <w:t>d/drink</w:t>
      </w:r>
      <w:r>
        <w:t>.</w:t>
      </w:r>
      <w:r w:rsidR="00E232C7">
        <w:t xml:space="preserve"> This is illustrated in Figure 3 below</w:t>
      </w:r>
      <w:r w:rsidR="003146AD">
        <w:t>,</w:t>
      </w:r>
      <w:r w:rsidR="00E232C7">
        <w:t xml:space="preserve"> which shows a ca</w:t>
      </w:r>
      <w:r w:rsidR="000F18A6">
        <w:t>fe</w:t>
      </w:r>
      <w:r w:rsidR="003146AD">
        <w:t xml:space="preserve"> integrated into a study space.</w:t>
      </w:r>
      <w:r w:rsidR="00E232C7">
        <w:t xml:space="preserve"> </w:t>
      </w:r>
      <w:r w:rsidR="003146AD">
        <w:t>T</w:t>
      </w:r>
      <w:r w:rsidR="00E232C7">
        <w:t>his should be located within 50 ft</w:t>
      </w:r>
      <w:r w:rsidR="000F18A6">
        <w:t>.</w:t>
      </w:r>
      <w:r w:rsidR="00E232C7">
        <w:t xml:space="preserve"> of the main study area in every space.</w:t>
      </w:r>
      <w:r w:rsidR="003146AD">
        <w:t xml:space="preserve"> C</w:t>
      </w:r>
      <w:r>
        <w:t>lasses should</w:t>
      </w:r>
      <w:r w:rsidR="000F18A6">
        <w:t xml:space="preserve"> also</w:t>
      </w:r>
      <w:r>
        <w:t xml:space="preserve"> be </w:t>
      </w:r>
      <w:r w:rsidR="003146AD">
        <w:t xml:space="preserve">within </w:t>
      </w:r>
      <w:r>
        <w:t xml:space="preserve">close proximity </w:t>
      </w:r>
      <w:r w:rsidR="003146AD">
        <w:t>to</w:t>
      </w:r>
      <w:r>
        <w:t xml:space="preserve"> study spaces to minimize walking </w:t>
      </w:r>
      <w:r w:rsidR="005A126D">
        <w:t>time</w:t>
      </w:r>
      <w:r>
        <w:t xml:space="preserve">, and </w:t>
      </w:r>
      <w:r w:rsidR="003146AD">
        <w:t xml:space="preserve">spaces </w:t>
      </w:r>
      <w:r>
        <w:t xml:space="preserve">should specifically be </w:t>
      </w:r>
      <w:r w:rsidR="00C11197">
        <w:t>located</w:t>
      </w:r>
      <w:r w:rsidR="00E232C7">
        <w:t xml:space="preserve"> within 100 feet of the quad and </w:t>
      </w:r>
      <w:r w:rsidR="00C11197">
        <w:t>fountain</w:t>
      </w:r>
      <w:r w:rsidR="00E232C7">
        <w:t xml:space="preserve"> to be </w:t>
      </w:r>
      <w:r w:rsidR="003146AD">
        <w:t>close</w:t>
      </w:r>
      <w:r w:rsidR="00E232C7">
        <w:t xml:space="preserve"> to upperclassmen classes</w:t>
      </w:r>
      <w:r w:rsidR="00C11197">
        <w:t>. S</w:t>
      </w:r>
      <w:r>
        <w:t xml:space="preserve">paces should have </w:t>
      </w:r>
      <w:r w:rsidR="00E232C7">
        <w:t>at least 20 large tables and 50 desks to accommodate</w:t>
      </w:r>
      <w:r>
        <w:t xml:space="preserve"> as many students as possible</w:t>
      </w:r>
      <w:r w:rsidR="000F18A6">
        <w:t>,</w:t>
      </w:r>
      <w:r w:rsidR="003146AD">
        <w:t xml:space="preserve"> and stay</w:t>
      </w:r>
      <w:r w:rsidR="00AF6C8D">
        <w:t xml:space="preserve"> open 24 hours a day</w:t>
      </w:r>
      <w:r>
        <w:t>.</w:t>
      </w:r>
      <w:r w:rsidR="00C11197">
        <w:t xml:space="preserve"> Tables and desks</w:t>
      </w:r>
      <w:r w:rsidR="00E232C7">
        <w:t xml:space="preserve"> should take up at least ¾ </w:t>
      </w:r>
      <w:r w:rsidR="00694445">
        <w:t xml:space="preserve">of available space in the study area </w:t>
      </w:r>
      <w:r w:rsidR="00AF6C8D">
        <w:t xml:space="preserve">to </w:t>
      </w:r>
      <w:r w:rsidR="003146AD">
        <w:t>maximize accommodation</w:t>
      </w:r>
      <w:r w:rsidR="00C11197">
        <w:t xml:space="preserve">. </w:t>
      </w:r>
    </w:p>
    <w:p w14:paraId="64B3E519" w14:textId="34B9F426" w:rsidR="00D76445" w:rsidRDefault="00D76445" w:rsidP="00DA7754">
      <w:pPr>
        <w:jc w:val="center"/>
      </w:pPr>
      <w:r>
        <w:rPr>
          <w:noProof/>
        </w:rPr>
        <w:drawing>
          <wp:inline distT="0" distB="0" distL="0" distR="0" wp14:anchorId="7D5E46BD" wp14:editId="2311BBE2">
            <wp:extent cx="2562225" cy="1581150"/>
            <wp:effectExtent l="0" t="0" r="9525" b="0"/>
            <wp:docPr id="5" name="Picture 5" descr="http://www.accom.ed.ac.uk/media/1552/dsc_0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ccom.ed.ac.uk/media/1552/dsc_011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094" cy="158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E408A" w14:textId="77668EF3" w:rsidR="00E232C7" w:rsidRPr="006C734E" w:rsidRDefault="00E232C7" w:rsidP="00DA7754">
      <w:pPr>
        <w:jc w:val="center"/>
        <w:rPr>
          <w:i/>
        </w:rPr>
      </w:pPr>
      <w:r w:rsidRPr="006C734E">
        <w:rPr>
          <w:i/>
        </w:rPr>
        <w:t>Figure 3:</w:t>
      </w:r>
      <w:r w:rsidR="000F18A6">
        <w:rPr>
          <w:i/>
        </w:rPr>
        <w:t xml:space="preserve"> Design of a cafe</w:t>
      </w:r>
      <w:r w:rsidRPr="006C734E">
        <w:rPr>
          <w:i/>
        </w:rPr>
        <w:t xml:space="preserve"> integrated into a study space that is easily accessible to students doing work</w:t>
      </w:r>
    </w:p>
    <w:p w14:paraId="5661D583" w14:textId="77777777" w:rsidR="007C5CF3" w:rsidRDefault="007C5CF3" w:rsidP="003E43B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Future Research Considerations </w:t>
      </w:r>
    </w:p>
    <w:p w14:paraId="619FB11F" w14:textId="5934B25E" w:rsidR="00441BC1" w:rsidRDefault="00A15246" w:rsidP="003E43B2">
      <w:pPr>
        <w:spacing w:after="0"/>
      </w:pPr>
      <w:r w:rsidRPr="00EF750B">
        <w:rPr>
          <w:rFonts w:cs="Helvetica"/>
          <w:color w:val="333333"/>
          <w:shd w:val="clear" w:color="auto" w:fill="FFFFFF"/>
        </w:rPr>
        <w:t xml:space="preserve">Concerning </w:t>
      </w:r>
      <w:r w:rsidR="00763AC9">
        <w:rPr>
          <w:rFonts w:cs="Helvetica"/>
          <w:color w:val="333333"/>
          <w:shd w:val="clear" w:color="auto" w:fill="FFFFFF"/>
        </w:rPr>
        <w:t xml:space="preserve">future </w:t>
      </w:r>
      <w:r w:rsidRPr="00EF750B">
        <w:rPr>
          <w:rFonts w:cs="Helvetica"/>
          <w:color w:val="333333"/>
          <w:shd w:val="clear" w:color="auto" w:fill="FFFFFF"/>
        </w:rPr>
        <w:t>field w</w:t>
      </w:r>
      <w:r w:rsidR="00763AC9">
        <w:rPr>
          <w:rFonts w:cs="Helvetica"/>
          <w:color w:val="333333"/>
          <w:shd w:val="clear" w:color="auto" w:fill="FFFFFF"/>
        </w:rPr>
        <w:t>ork</w:t>
      </w:r>
      <w:r w:rsidR="00441BC1">
        <w:rPr>
          <w:rFonts w:cs="Helvetica"/>
          <w:color w:val="333333"/>
          <w:shd w:val="clear" w:color="auto" w:fill="FFFFFF"/>
        </w:rPr>
        <w:t>, I hope to observe how not just UW students but also how working professionals, employees, and campus visitors use s</w:t>
      </w:r>
      <w:r w:rsidR="00B51366">
        <w:rPr>
          <w:rFonts w:cs="Helvetica"/>
          <w:color w:val="333333"/>
          <w:shd w:val="clear" w:color="auto" w:fill="FFFFFF"/>
        </w:rPr>
        <w:t xml:space="preserve">tudy spaces on campus. </w:t>
      </w:r>
      <w:r w:rsidR="007C5844">
        <w:rPr>
          <w:rFonts w:cs="Helvetica"/>
          <w:color w:val="333333"/>
          <w:shd w:val="clear" w:color="auto" w:fill="FFFFFF"/>
        </w:rPr>
        <w:t>I made my field observations at night, which was</w:t>
      </w:r>
      <w:r w:rsidRPr="00EF750B">
        <w:rPr>
          <w:rFonts w:cs="Helvetica"/>
          <w:color w:val="333333"/>
          <w:shd w:val="clear" w:color="auto" w:fill="FFFFFF"/>
        </w:rPr>
        <w:t xml:space="preserve"> typically fine for students </w:t>
      </w:r>
      <w:r w:rsidR="007C5844">
        <w:rPr>
          <w:rFonts w:cs="Helvetica"/>
          <w:color w:val="333333"/>
          <w:shd w:val="clear" w:color="auto" w:fill="FFFFFF"/>
        </w:rPr>
        <w:t xml:space="preserve">but not </w:t>
      </w:r>
      <w:r w:rsidR="00763AC9">
        <w:rPr>
          <w:rFonts w:cs="Helvetica"/>
          <w:color w:val="333333"/>
          <w:shd w:val="clear" w:color="auto" w:fill="FFFFFF"/>
        </w:rPr>
        <w:t xml:space="preserve">for </w:t>
      </w:r>
      <w:r w:rsidRPr="00EF750B">
        <w:rPr>
          <w:rFonts w:cs="Helvetica"/>
          <w:color w:val="333333"/>
          <w:shd w:val="clear" w:color="auto" w:fill="FFFFFF"/>
        </w:rPr>
        <w:t>users like working professionals</w:t>
      </w:r>
      <w:r w:rsidR="00763AC9">
        <w:rPr>
          <w:rFonts w:cs="Helvetica"/>
          <w:color w:val="333333"/>
          <w:shd w:val="clear" w:color="auto" w:fill="FFFFFF"/>
        </w:rPr>
        <w:t xml:space="preserve"> who do not </w:t>
      </w:r>
      <w:r w:rsidR="007C5844">
        <w:rPr>
          <w:rFonts w:cs="Helvetica"/>
          <w:color w:val="333333"/>
          <w:shd w:val="clear" w:color="auto" w:fill="FFFFFF"/>
        </w:rPr>
        <w:t xml:space="preserve">usually </w:t>
      </w:r>
      <w:r w:rsidRPr="00EF750B">
        <w:rPr>
          <w:rFonts w:cs="Helvetica"/>
          <w:color w:val="333333"/>
          <w:shd w:val="clear" w:color="auto" w:fill="FFFFFF"/>
        </w:rPr>
        <w:t xml:space="preserve">have access to </w:t>
      </w:r>
      <w:r w:rsidR="00763AC9">
        <w:rPr>
          <w:rFonts w:cs="Helvetica"/>
          <w:color w:val="333333"/>
          <w:shd w:val="clear" w:color="auto" w:fill="FFFFFF"/>
        </w:rPr>
        <w:t>campus spaces</w:t>
      </w:r>
      <w:r w:rsidR="00C46F4D">
        <w:rPr>
          <w:rFonts w:cs="Helvetica"/>
          <w:color w:val="333333"/>
          <w:shd w:val="clear" w:color="auto" w:fill="FFFFFF"/>
        </w:rPr>
        <w:t xml:space="preserve"> or study</w:t>
      </w:r>
      <w:r w:rsidR="00763AC9">
        <w:rPr>
          <w:rFonts w:cs="Helvetica"/>
          <w:color w:val="333333"/>
          <w:shd w:val="clear" w:color="auto" w:fill="FFFFFF"/>
        </w:rPr>
        <w:t xml:space="preserve"> late at night.</w:t>
      </w:r>
      <w:r w:rsidR="00B51366">
        <w:t xml:space="preserve"> </w:t>
      </w:r>
      <w:r w:rsidR="001D32DC">
        <w:t>I have the opportunity in the future to make field study observations during the day</w:t>
      </w:r>
      <w:r w:rsidR="00C46F4D">
        <w:t>,</w:t>
      </w:r>
      <w:r w:rsidR="001D32DC">
        <w:t xml:space="preserve"> which will allow me to make the space productive and comfortable fo</w:t>
      </w:r>
      <w:r w:rsidR="007C5844">
        <w:t>r other users</w:t>
      </w:r>
      <w:r w:rsidR="001D32DC">
        <w:t xml:space="preserve"> in addition to students. </w:t>
      </w:r>
    </w:p>
    <w:p w14:paraId="44F9A42B" w14:textId="77777777" w:rsidR="00FB4BC2" w:rsidRDefault="00FB4BC2" w:rsidP="003E43B2">
      <w:pPr>
        <w:spacing w:after="0"/>
        <w:rPr>
          <w:rFonts w:cs="Helvetica"/>
          <w:color w:val="333333"/>
          <w:shd w:val="clear" w:color="auto" w:fill="FFFFFF"/>
        </w:rPr>
      </w:pPr>
    </w:p>
    <w:p w14:paraId="0248F695" w14:textId="6AA07F22" w:rsidR="00A15246" w:rsidRPr="00EF750B" w:rsidRDefault="00441BC1" w:rsidP="003E43B2">
      <w:pPr>
        <w:spacing w:after="0"/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 xml:space="preserve">Concerning future interviews, I hope to learn how </w:t>
      </w:r>
      <w:r w:rsidR="00B51366">
        <w:rPr>
          <w:rFonts w:cs="Helvetica"/>
          <w:color w:val="333333"/>
          <w:shd w:val="clear" w:color="auto" w:fill="FFFFFF"/>
        </w:rPr>
        <w:t xml:space="preserve">users from </w:t>
      </w:r>
      <w:r>
        <w:rPr>
          <w:rFonts w:cs="Helvetica"/>
          <w:color w:val="333333"/>
          <w:shd w:val="clear" w:color="auto" w:fill="FFFFFF"/>
        </w:rPr>
        <w:t>different demogra</w:t>
      </w:r>
      <w:r w:rsidR="00B51366">
        <w:rPr>
          <w:rFonts w:cs="Helvetica"/>
          <w:color w:val="333333"/>
          <w:shd w:val="clear" w:color="auto" w:fill="FFFFFF"/>
        </w:rPr>
        <w:t xml:space="preserve">phics </w:t>
      </w:r>
      <w:r w:rsidR="00C77EA7">
        <w:rPr>
          <w:rFonts w:cs="Helvetica"/>
          <w:color w:val="333333"/>
          <w:shd w:val="clear" w:color="auto" w:fill="FFFFFF"/>
        </w:rPr>
        <w:t>like race,</w:t>
      </w:r>
      <w:r w:rsidR="00B51366">
        <w:rPr>
          <w:rFonts w:cs="Helvetica"/>
          <w:color w:val="333333"/>
          <w:shd w:val="clear" w:color="auto" w:fill="FFFFFF"/>
        </w:rPr>
        <w:t xml:space="preserve"> </w:t>
      </w:r>
      <w:r>
        <w:rPr>
          <w:rFonts w:cs="Helvetica"/>
          <w:color w:val="333333"/>
          <w:shd w:val="clear" w:color="auto" w:fill="FFFFFF"/>
        </w:rPr>
        <w:t>gender</w:t>
      </w:r>
      <w:r w:rsidR="00B51366">
        <w:rPr>
          <w:rFonts w:cs="Helvetica"/>
          <w:color w:val="333333"/>
          <w:shd w:val="clear" w:color="auto" w:fill="FFFFFF"/>
        </w:rPr>
        <w:t>, etc.</w:t>
      </w:r>
      <w:r>
        <w:rPr>
          <w:rFonts w:cs="Helvetica"/>
          <w:color w:val="333333"/>
          <w:shd w:val="clear" w:color="auto" w:fill="FFFFFF"/>
        </w:rPr>
        <w:t xml:space="preserve"> choose to study in certain spaces on campus.</w:t>
      </w:r>
      <w:r w:rsidR="00763AC9">
        <w:rPr>
          <w:rFonts w:cs="Helvetica"/>
          <w:color w:val="333333"/>
          <w:shd w:val="clear" w:color="auto" w:fill="FFFFFF"/>
        </w:rPr>
        <w:t xml:space="preserve"> </w:t>
      </w:r>
      <w:r w:rsidR="00CE01B9">
        <w:rPr>
          <w:rFonts w:cs="Helvetica"/>
          <w:color w:val="333333"/>
          <w:shd w:val="clear" w:color="auto" w:fill="FFFFFF"/>
        </w:rPr>
        <w:t>I</w:t>
      </w:r>
      <w:r w:rsidR="00B51366">
        <w:rPr>
          <w:rFonts w:cs="Helvetica"/>
          <w:color w:val="333333"/>
          <w:shd w:val="clear" w:color="auto" w:fill="FFFFFF"/>
        </w:rPr>
        <w:t>n my interviews</w:t>
      </w:r>
      <w:r>
        <w:rPr>
          <w:rFonts w:cs="Helvetica"/>
          <w:color w:val="333333"/>
          <w:shd w:val="clear" w:color="auto" w:fill="FFFFFF"/>
        </w:rPr>
        <w:t>,</w:t>
      </w:r>
      <w:r w:rsidR="00A15246" w:rsidRPr="00EF750B">
        <w:rPr>
          <w:rFonts w:cs="Helvetica"/>
          <w:color w:val="333333"/>
          <w:shd w:val="clear" w:color="auto" w:fill="FFFFFF"/>
        </w:rPr>
        <w:t xml:space="preserve"> I was selecting for convenience</w:t>
      </w:r>
      <w:r w:rsidR="00C77EA7">
        <w:rPr>
          <w:rFonts w:cs="Helvetica"/>
          <w:color w:val="333333"/>
          <w:shd w:val="clear" w:color="auto" w:fill="FFFFFF"/>
        </w:rPr>
        <w:t>,</w:t>
      </w:r>
      <w:r w:rsidR="00A15246" w:rsidRPr="00EF750B">
        <w:rPr>
          <w:rFonts w:cs="Helvetica"/>
          <w:color w:val="333333"/>
          <w:shd w:val="clear" w:color="auto" w:fill="FFFFFF"/>
        </w:rPr>
        <w:t xml:space="preserve"> and ended up having only female participants</w:t>
      </w:r>
      <w:r w:rsidR="00C46F4D">
        <w:rPr>
          <w:rFonts w:cs="Helvetica"/>
          <w:color w:val="333333"/>
          <w:shd w:val="clear" w:color="auto" w:fill="FFFFFF"/>
        </w:rPr>
        <w:t>,</w:t>
      </w:r>
      <w:r w:rsidR="00A15246" w:rsidRPr="00EF750B">
        <w:rPr>
          <w:rFonts w:cs="Helvetica"/>
          <w:color w:val="333333"/>
          <w:shd w:val="clear" w:color="auto" w:fill="FFFFFF"/>
        </w:rPr>
        <w:t xml:space="preserve"> which may have given me different data than I would have gotten with mixed participants.</w:t>
      </w:r>
      <w:r w:rsidR="001D32DC">
        <w:rPr>
          <w:rFonts w:cs="Helvetica"/>
          <w:color w:val="333333"/>
          <w:shd w:val="clear" w:color="auto" w:fill="FFFFFF"/>
        </w:rPr>
        <w:t xml:space="preserve"> </w:t>
      </w:r>
      <w:r w:rsidR="00C77EA7">
        <w:rPr>
          <w:rFonts w:cs="Helvetica"/>
          <w:color w:val="333333"/>
          <w:shd w:val="clear" w:color="auto" w:fill="FFFFFF"/>
        </w:rPr>
        <w:t xml:space="preserve">I have the </w:t>
      </w:r>
      <w:r w:rsidR="00C77EA7">
        <w:rPr>
          <w:rFonts w:cs="Helvetica"/>
          <w:color w:val="333333"/>
          <w:shd w:val="clear" w:color="auto" w:fill="FFFFFF"/>
        </w:rPr>
        <w:lastRenderedPageBreak/>
        <w:t xml:space="preserve">opportunity in the future </w:t>
      </w:r>
      <w:r w:rsidR="001D32DC">
        <w:rPr>
          <w:rFonts w:cs="Helvetica"/>
          <w:color w:val="333333"/>
          <w:shd w:val="clear" w:color="auto" w:fill="FFFFFF"/>
        </w:rPr>
        <w:t xml:space="preserve">to interview </w:t>
      </w:r>
      <w:r w:rsidR="00C77EA7">
        <w:rPr>
          <w:rFonts w:cs="Helvetica"/>
          <w:color w:val="333333"/>
          <w:shd w:val="clear" w:color="auto" w:fill="FFFFFF"/>
        </w:rPr>
        <w:t>users from varying backgrounds</w:t>
      </w:r>
      <w:r w:rsidR="00C46F4D">
        <w:rPr>
          <w:rFonts w:cs="Helvetica"/>
          <w:color w:val="333333"/>
          <w:shd w:val="clear" w:color="auto" w:fill="FFFFFF"/>
        </w:rPr>
        <w:t>,</w:t>
      </w:r>
      <w:r w:rsidR="00C77EA7">
        <w:rPr>
          <w:rFonts w:cs="Helvetica"/>
          <w:color w:val="333333"/>
          <w:shd w:val="clear" w:color="auto" w:fill="FFFFFF"/>
        </w:rPr>
        <w:t xml:space="preserve"> which </w:t>
      </w:r>
      <w:r w:rsidR="001D32DC">
        <w:rPr>
          <w:rFonts w:cs="Helvetica"/>
          <w:color w:val="333333"/>
          <w:shd w:val="clear" w:color="auto" w:fill="FFFFFF"/>
        </w:rPr>
        <w:t xml:space="preserve">will give me an even better understanding of who on-campus study space users are, </w:t>
      </w:r>
      <w:r w:rsidR="00C46F4D">
        <w:rPr>
          <w:rFonts w:cs="Helvetica"/>
          <w:color w:val="333333"/>
          <w:shd w:val="clear" w:color="auto" w:fill="FFFFFF"/>
        </w:rPr>
        <w:t>and help me</w:t>
      </w:r>
      <w:r w:rsidR="001D32DC">
        <w:rPr>
          <w:rFonts w:cs="Helvetica"/>
          <w:color w:val="333333"/>
          <w:shd w:val="clear" w:color="auto" w:fill="FFFFFF"/>
        </w:rPr>
        <w:t xml:space="preserve"> design an even more ideal space.  </w:t>
      </w:r>
    </w:p>
    <w:p w14:paraId="381BE0CF" w14:textId="77777777" w:rsidR="00FB4BC2" w:rsidRDefault="00FB4BC2" w:rsidP="003E43B2">
      <w:pPr>
        <w:spacing w:after="0"/>
        <w:rPr>
          <w:rFonts w:cs="Helvetica"/>
          <w:color w:val="333333"/>
          <w:shd w:val="clear" w:color="auto" w:fill="FFFFFF"/>
        </w:rPr>
      </w:pPr>
    </w:p>
    <w:p w14:paraId="208C4137" w14:textId="7390E2C2" w:rsidR="00FB4BC2" w:rsidRDefault="00441BC1" w:rsidP="003E43B2">
      <w:pPr>
        <w:spacing w:after="0"/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 xml:space="preserve">Concerning future surveys, I hope to learn specifically </w:t>
      </w:r>
      <w:r w:rsidR="00CE01B9">
        <w:rPr>
          <w:rFonts w:cs="Helvetica"/>
          <w:color w:val="333333"/>
          <w:shd w:val="clear" w:color="auto" w:fill="FFFFFF"/>
        </w:rPr>
        <w:t>how many members in each o</w:t>
      </w:r>
      <w:r w:rsidR="00567958">
        <w:rPr>
          <w:rFonts w:cs="Helvetica"/>
          <w:color w:val="333333"/>
          <w:shd w:val="clear" w:color="auto" w:fill="FFFFFF"/>
        </w:rPr>
        <w:t>f various demographics (</w:t>
      </w:r>
      <w:r w:rsidR="00CE01B9">
        <w:rPr>
          <w:rFonts w:cs="Helvetica"/>
          <w:color w:val="333333"/>
          <w:shd w:val="clear" w:color="auto" w:fill="FFFFFF"/>
        </w:rPr>
        <w:t xml:space="preserve">age, race, gender, etc.) </w:t>
      </w:r>
      <w:r w:rsidR="00567958">
        <w:rPr>
          <w:rFonts w:cs="Helvetica"/>
          <w:color w:val="333333"/>
          <w:shd w:val="clear" w:color="auto" w:fill="FFFFFF"/>
        </w:rPr>
        <w:t>use certain</w:t>
      </w:r>
      <w:r w:rsidR="00C77EA7">
        <w:rPr>
          <w:rFonts w:cs="Helvetica"/>
          <w:color w:val="333333"/>
          <w:shd w:val="clear" w:color="auto" w:fill="FFFFFF"/>
        </w:rPr>
        <w:t xml:space="preserve"> study spaces, </w:t>
      </w:r>
      <w:r w:rsidR="00CE01B9">
        <w:rPr>
          <w:rFonts w:cs="Helvetica"/>
          <w:color w:val="333333"/>
          <w:shd w:val="clear" w:color="auto" w:fill="FFFFFF"/>
        </w:rPr>
        <w:t xml:space="preserve">which would allow </w:t>
      </w:r>
      <w:r w:rsidR="00567958">
        <w:rPr>
          <w:rFonts w:cs="Helvetica"/>
          <w:color w:val="333333"/>
          <w:shd w:val="clear" w:color="auto" w:fill="FFFFFF"/>
        </w:rPr>
        <w:t xml:space="preserve">me to see </w:t>
      </w:r>
      <w:r w:rsidR="00CE01B9">
        <w:rPr>
          <w:rFonts w:cs="Helvetica"/>
          <w:color w:val="333333"/>
          <w:shd w:val="clear" w:color="auto" w:fill="FFFFFF"/>
        </w:rPr>
        <w:t xml:space="preserve">patterns among users. In </w:t>
      </w:r>
      <w:r w:rsidR="00567958">
        <w:rPr>
          <w:rFonts w:cs="Helvetica"/>
          <w:color w:val="333333"/>
          <w:shd w:val="clear" w:color="auto" w:fill="FFFFFF"/>
        </w:rPr>
        <w:t>my surveys,</w:t>
      </w:r>
      <w:r w:rsidR="00CE01B9">
        <w:rPr>
          <w:rFonts w:cs="Helvetica"/>
          <w:color w:val="333333"/>
          <w:shd w:val="clear" w:color="auto" w:fill="FFFFFF"/>
        </w:rPr>
        <w:t xml:space="preserve"> I did not have clear comparisons like this, </w:t>
      </w:r>
      <w:r w:rsidR="00567958">
        <w:rPr>
          <w:rFonts w:cs="Helvetica"/>
          <w:color w:val="333333"/>
          <w:shd w:val="clear" w:color="auto" w:fill="FFFFFF"/>
        </w:rPr>
        <w:t>which led to</w:t>
      </w:r>
      <w:r w:rsidR="00CE01B9">
        <w:rPr>
          <w:rFonts w:cs="Helvetica"/>
          <w:color w:val="333333"/>
          <w:shd w:val="clear" w:color="auto" w:fill="FFFFFF"/>
        </w:rPr>
        <w:t xml:space="preserve"> complex and vague comparisons. For example, </w:t>
      </w:r>
      <w:r w:rsidR="00763AC9">
        <w:rPr>
          <w:rFonts w:cs="Helvetica"/>
          <w:color w:val="333333"/>
          <w:shd w:val="clear" w:color="auto" w:fill="FFFFFF"/>
        </w:rPr>
        <w:t xml:space="preserve">I ran into a problem with a </w:t>
      </w:r>
      <w:r w:rsidR="00763AC9">
        <w:t>social disposition</w:t>
      </w:r>
      <w:r w:rsidR="00567958">
        <w:t xml:space="preserve">/interaction metric where I made </w:t>
      </w:r>
      <w:r w:rsidR="00763AC9">
        <w:t xml:space="preserve">comparisons about </w:t>
      </w:r>
      <w:r w:rsidR="00763AC9" w:rsidRPr="00EF750B">
        <w:rPr>
          <w:rFonts w:cs="Helvetica"/>
          <w:color w:val="333333"/>
          <w:shd w:val="clear" w:color="auto" w:fill="FFFFFF"/>
        </w:rPr>
        <w:t>doing difficult vs</w:t>
      </w:r>
      <w:r w:rsidR="00C46F4D">
        <w:rPr>
          <w:rFonts w:cs="Helvetica"/>
          <w:color w:val="333333"/>
          <w:shd w:val="clear" w:color="auto" w:fill="FFFFFF"/>
        </w:rPr>
        <w:t>.</w:t>
      </w:r>
      <w:r w:rsidR="00763AC9" w:rsidRPr="00EF750B">
        <w:rPr>
          <w:rFonts w:cs="Helvetica"/>
          <w:color w:val="333333"/>
          <w:shd w:val="clear" w:color="auto" w:fill="FFFFFF"/>
        </w:rPr>
        <w:t xml:space="preserve"> easy work </w:t>
      </w:r>
      <w:r w:rsidR="00567958">
        <w:rPr>
          <w:rFonts w:cs="Helvetica"/>
          <w:color w:val="333333"/>
          <w:shd w:val="clear" w:color="auto" w:fill="FFFFFF"/>
        </w:rPr>
        <w:t>and</w:t>
      </w:r>
      <w:r w:rsidR="00763AC9" w:rsidRPr="00EF750B">
        <w:rPr>
          <w:rFonts w:cs="Helvetica"/>
          <w:color w:val="333333"/>
          <w:shd w:val="clear" w:color="auto" w:fill="FFFFFF"/>
        </w:rPr>
        <w:t xml:space="preserve"> social interaction preference in a study space</w:t>
      </w:r>
      <w:r w:rsidR="00763AC9">
        <w:rPr>
          <w:rFonts w:cs="Helvetica"/>
          <w:color w:val="333333"/>
          <w:shd w:val="clear" w:color="auto" w:fill="FFFFFF"/>
        </w:rPr>
        <w:t xml:space="preserve">. </w:t>
      </w:r>
      <w:r w:rsidR="00B1739F">
        <w:rPr>
          <w:rFonts w:cs="Helvetica"/>
          <w:color w:val="333333"/>
          <w:shd w:val="clear" w:color="auto" w:fill="FFFFFF"/>
        </w:rPr>
        <w:t>This was</w:t>
      </w:r>
      <w:r w:rsidR="00763AC9">
        <w:t xml:space="preserve"> both difficult to understand and lead to data misinterpretation</w:t>
      </w:r>
      <w:r w:rsidR="00A62933">
        <w:rPr>
          <w:rFonts w:cs="Helvetica"/>
          <w:color w:val="333333"/>
          <w:shd w:val="clear" w:color="auto" w:fill="FFFFFF"/>
        </w:rPr>
        <w:t xml:space="preserve">. </w:t>
      </w:r>
      <w:r w:rsidR="00567958">
        <w:rPr>
          <w:rFonts w:cs="Helvetica"/>
          <w:color w:val="333333"/>
          <w:shd w:val="clear" w:color="auto" w:fill="FFFFFF"/>
        </w:rPr>
        <w:t>I</w:t>
      </w:r>
      <w:r w:rsidR="00CE01B9">
        <w:rPr>
          <w:rFonts w:cs="Helvetica"/>
          <w:color w:val="333333"/>
          <w:shd w:val="clear" w:color="auto" w:fill="FFFFFF"/>
        </w:rPr>
        <w:t>n the future</w:t>
      </w:r>
      <w:r w:rsidR="00C46F4D">
        <w:rPr>
          <w:rFonts w:cs="Helvetica"/>
          <w:color w:val="333333"/>
          <w:shd w:val="clear" w:color="auto" w:fill="FFFFFF"/>
        </w:rPr>
        <w:t>,</w:t>
      </w:r>
      <w:r w:rsidR="00567958">
        <w:rPr>
          <w:rFonts w:cs="Helvetica"/>
          <w:color w:val="333333"/>
          <w:shd w:val="clear" w:color="auto" w:fill="FFFFFF"/>
        </w:rPr>
        <w:t xml:space="preserve"> I have the opportunity</w:t>
      </w:r>
      <w:r w:rsidR="00CE01B9">
        <w:rPr>
          <w:rFonts w:cs="Helvetica"/>
          <w:color w:val="333333"/>
          <w:shd w:val="clear" w:color="auto" w:fill="FFFFFF"/>
        </w:rPr>
        <w:t xml:space="preserve"> </w:t>
      </w:r>
      <w:r w:rsidR="00567958">
        <w:rPr>
          <w:rFonts w:cs="Helvetica"/>
          <w:color w:val="333333"/>
          <w:shd w:val="clear" w:color="auto" w:fill="FFFFFF"/>
        </w:rPr>
        <w:t xml:space="preserve">to </w:t>
      </w:r>
      <w:r w:rsidR="00C46F4D">
        <w:rPr>
          <w:rFonts w:cs="Helvetica"/>
          <w:color w:val="333333"/>
          <w:shd w:val="clear" w:color="auto" w:fill="FFFFFF"/>
        </w:rPr>
        <w:t>put data clarit</w:t>
      </w:r>
      <w:r w:rsidR="00A62933">
        <w:rPr>
          <w:rFonts w:cs="Helvetica"/>
          <w:color w:val="333333"/>
          <w:shd w:val="clear" w:color="auto" w:fill="FFFFFF"/>
        </w:rPr>
        <w:t xml:space="preserve">y before ambition by creating questions which </w:t>
      </w:r>
      <w:r w:rsidR="00567958">
        <w:rPr>
          <w:rFonts w:cs="Helvetica"/>
          <w:color w:val="333333"/>
          <w:shd w:val="clear" w:color="auto" w:fill="FFFFFF"/>
        </w:rPr>
        <w:t xml:space="preserve">I can </w:t>
      </w:r>
      <w:r w:rsidR="00A62933">
        <w:rPr>
          <w:rFonts w:cs="Helvetica"/>
          <w:color w:val="333333"/>
          <w:shd w:val="clear" w:color="auto" w:fill="FFFFFF"/>
        </w:rPr>
        <w:t>comp</w:t>
      </w:r>
      <w:r w:rsidR="00567958">
        <w:rPr>
          <w:rFonts w:cs="Helvetica"/>
          <w:color w:val="333333"/>
          <w:shd w:val="clear" w:color="auto" w:fill="FFFFFF"/>
        </w:rPr>
        <w:t>are clearly and effectively</w:t>
      </w:r>
      <w:r w:rsidR="00A62933">
        <w:rPr>
          <w:rFonts w:cs="Helvetica"/>
          <w:color w:val="333333"/>
          <w:shd w:val="clear" w:color="auto" w:fill="FFFFFF"/>
        </w:rPr>
        <w:t xml:space="preserve">. </w:t>
      </w:r>
      <w:r w:rsidR="00763AC9">
        <w:rPr>
          <w:rFonts w:cs="Helvetica"/>
          <w:color w:val="333333"/>
          <w:shd w:val="clear" w:color="auto" w:fill="FFFFFF"/>
        </w:rPr>
        <w:t xml:space="preserve"> </w:t>
      </w:r>
    </w:p>
    <w:p w14:paraId="1858227E" w14:textId="77777777" w:rsidR="00C46F4D" w:rsidRPr="00C46F4D" w:rsidRDefault="00C46F4D" w:rsidP="003E43B2">
      <w:pPr>
        <w:spacing w:after="0"/>
        <w:rPr>
          <w:rFonts w:cs="Helvetica"/>
          <w:color w:val="333333"/>
          <w:shd w:val="clear" w:color="auto" w:fill="FFFFFF"/>
        </w:rPr>
      </w:pPr>
    </w:p>
    <w:p w14:paraId="29572EB9" w14:textId="77777777" w:rsidR="00A5027A" w:rsidRDefault="00A5027A" w:rsidP="003E43B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References</w:t>
      </w:r>
    </w:p>
    <w:p w14:paraId="10A8435B" w14:textId="2EBDFCF4" w:rsidR="00A5027A" w:rsidRPr="00467C46" w:rsidRDefault="00A5027A" w:rsidP="003E43B2">
      <w:pPr>
        <w:spacing w:after="0"/>
        <w:rPr>
          <w:rFonts w:cs="Arial"/>
          <w:color w:val="222222"/>
          <w:shd w:val="clear" w:color="auto" w:fill="FFFFFF"/>
        </w:rPr>
      </w:pPr>
      <w:r w:rsidRPr="00467C46">
        <w:rPr>
          <w:rFonts w:cs="Arial"/>
          <w:color w:val="222222"/>
          <w:shd w:val="clear" w:color="auto" w:fill="FFFFFF"/>
        </w:rPr>
        <w:t>Applegate, R. (2009). The library is for studying: Student preferences for study space.</w:t>
      </w:r>
      <w:r w:rsidRPr="00467C46">
        <w:rPr>
          <w:rStyle w:val="apple-converted-space"/>
          <w:rFonts w:cs="Arial"/>
          <w:color w:val="222222"/>
          <w:shd w:val="clear" w:color="auto" w:fill="FFFFFF"/>
        </w:rPr>
        <w:t> </w:t>
      </w:r>
      <w:r w:rsidR="00A13C72">
        <w:rPr>
          <w:rFonts w:cs="Arial"/>
          <w:i/>
          <w:iCs/>
          <w:color w:val="222222"/>
          <w:shd w:val="clear" w:color="auto" w:fill="FFFFFF"/>
        </w:rPr>
        <w:t xml:space="preserve">The Journal of Academic </w:t>
      </w:r>
      <w:r w:rsidRPr="00467C46">
        <w:rPr>
          <w:rFonts w:cs="Arial"/>
          <w:i/>
          <w:iCs/>
          <w:color w:val="222222"/>
          <w:shd w:val="clear" w:color="auto" w:fill="FFFFFF"/>
        </w:rPr>
        <w:t>Librarianship</w:t>
      </w:r>
      <w:r w:rsidRPr="00467C46">
        <w:rPr>
          <w:rFonts w:cs="Arial"/>
          <w:color w:val="222222"/>
          <w:shd w:val="clear" w:color="auto" w:fill="FFFFFF"/>
        </w:rPr>
        <w:t>,</w:t>
      </w:r>
      <w:r w:rsidRPr="00467C46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467C46">
        <w:rPr>
          <w:rFonts w:cs="Arial"/>
          <w:i/>
          <w:iCs/>
          <w:color w:val="222222"/>
          <w:shd w:val="clear" w:color="auto" w:fill="FFFFFF"/>
        </w:rPr>
        <w:t>35</w:t>
      </w:r>
      <w:r w:rsidRPr="00467C46">
        <w:rPr>
          <w:rFonts w:cs="Arial"/>
          <w:color w:val="222222"/>
          <w:shd w:val="clear" w:color="auto" w:fill="FFFFFF"/>
        </w:rPr>
        <w:t>(4), 341-346.</w:t>
      </w:r>
    </w:p>
    <w:p w14:paraId="01D3FBA2" w14:textId="3C23228E" w:rsidR="00DF427A" w:rsidRDefault="00935A44" w:rsidP="00935A44">
      <w:pPr>
        <w:tabs>
          <w:tab w:val="left" w:pos="4710"/>
        </w:tabs>
        <w:spacing w:after="0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ab/>
      </w:r>
    </w:p>
    <w:p w14:paraId="222CACDD" w14:textId="483CE9F0" w:rsidR="00A5027A" w:rsidRPr="00467C46" w:rsidRDefault="00A5027A" w:rsidP="003E43B2">
      <w:pPr>
        <w:spacing w:after="0"/>
        <w:rPr>
          <w:rFonts w:cs="Arial"/>
          <w:color w:val="222222"/>
          <w:shd w:val="clear" w:color="auto" w:fill="FFFFFF"/>
        </w:rPr>
      </w:pPr>
      <w:r w:rsidRPr="00467C46">
        <w:rPr>
          <w:rFonts w:cs="Arial"/>
          <w:color w:val="222222"/>
          <w:shd w:val="clear" w:color="auto" w:fill="FFFFFF"/>
        </w:rPr>
        <w:t xml:space="preserve">Nonis, S. A., &amp; Hudson, G. I. (2010). Performance of college students: </w:t>
      </w:r>
      <w:r w:rsidR="00A13C72">
        <w:rPr>
          <w:rFonts w:cs="Arial"/>
          <w:color w:val="222222"/>
          <w:shd w:val="clear" w:color="auto" w:fill="FFFFFF"/>
        </w:rPr>
        <w:t xml:space="preserve">Impact of study time and study </w:t>
      </w:r>
      <w:r w:rsidRPr="00467C46">
        <w:rPr>
          <w:rFonts w:cs="Arial"/>
          <w:color w:val="222222"/>
          <w:shd w:val="clear" w:color="auto" w:fill="FFFFFF"/>
        </w:rPr>
        <w:t>habits.</w:t>
      </w:r>
      <w:r w:rsidRPr="00467C46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467C46">
        <w:rPr>
          <w:rFonts w:cs="Arial"/>
          <w:i/>
          <w:iCs/>
          <w:color w:val="222222"/>
          <w:shd w:val="clear" w:color="auto" w:fill="FFFFFF"/>
        </w:rPr>
        <w:t>Journal of Education for Business</w:t>
      </w:r>
      <w:r w:rsidRPr="00467C46">
        <w:rPr>
          <w:rFonts w:cs="Arial"/>
          <w:color w:val="222222"/>
          <w:shd w:val="clear" w:color="auto" w:fill="FFFFFF"/>
        </w:rPr>
        <w:t>,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67C46">
        <w:rPr>
          <w:rFonts w:cs="Arial"/>
          <w:i/>
          <w:iCs/>
          <w:color w:val="222222"/>
          <w:shd w:val="clear" w:color="auto" w:fill="FFFFFF"/>
        </w:rPr>
        <w:t>85</w:t>
      </w:r>
      <w:r w:rsidRPr="00467C46">
        <w:rPr>
          <w:rFonts w:cs="Arial"/>
          <w:color w:val="222222"/>
          <w:shd w:val="clear" w:color="auto" w:fill="FFFFFF"/>
        </w:rPr>
        <w:t>(4), 229-238.</w:t>
      </w:r>
    </w:p>
    <w:p w14:paraId="26F0539B" w14:textId="77777777" w:rsidR="00A5027A" w:rsidRPr="00A5027A" w:rsidRDefault="00A5027A" w:rsidP="003E43B2">
      <w:pPr>
        <w:spacing w:after="0"/>
        <w:rPr>
          <w:b/>
        </w:rPr>
      </w:pPr>
    </w:p>
    <w:sectPr w:rsidR="00A5027A" w:rsidRPr="00A5027A" w:rsidSect="00A13C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25636" w14:textId="77777777" w:rsidR="00303A2C" w:rsidRDefault="00303A2C" w:rsidP="00770ED2">
      <w:pPr>
        <w:spacing w:after="0" w:line="240" w:lineRule="auto"/>
      </w:pPr>
      <w:r>
        <w:separator/>
      </w:r>
    </w:p>
  </w:endnote>
  <w:endnote w:type="continuationSeparator" w:id="0">
    <w:p w14:paraId="7565332E" w14:textId="77777777" w:rsidR="00303A2C" w:rsidRDefault="00303A2C" w:rsidP="00770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C6348" w14:textId="77777777" w:rsidR="00303A2C" w:rsidRDefault="00303A2C" w:rsidP="00770ED2">
      <w:pPr>
        <w:spacing w:after="0" w:line="240" w:lineRule="auto"/>
      </w:pPr>
      <w:r>
        <w:separator/>
      </w:r>
    </w:p>
  </w:footnote>
  <w:footnote w:type="continuationSeparator" w:id="0">
    <w:p w14:paraId="3BBC2A12" w14:textId="77777777" w:rsidR="00303A2C" w:rsidRDefault="00303A2C" w:rsidP="00770E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2B"/>
    <w:rsid w:val="000554A7"/>
    <w:rsid w:val="00057D53"/>
    <w:rsid w:val="000A0225"/>
    <w:rsid w:val="000A0FA8"/>
    <w:rsid w:val="000C3BB3"/>
    <w:rsid w:val="000F18A6"/>
    <w:rsid w:val="001347DD"/>
    <w:rsid w:val="00137022"/>
    <w:rsid w:val="00144A7D"/>
    <w:rsid w:val="00151020"/>
    <w:rsid w:val="0015533E"/>
    <w:rsid w:val="001C557A"/>
    <w:rsid w:val="001D2F28"/>
    <w:rsid w:val="001D32DC"/>
    <w:rsid w:val="001F7ABF"/>
    <w:rsid w:val="002323BC"/>
    <w:rsid w:val="002912BB"/>
    <w:rsid w:val="00303A2C"/>
    <w:rsid w:val="003146AD"/>
    <w:rsid w:val="00315F68"/>
    <w:rsid w:val="00322581"/>
    <w:rsid w:val="003546EE"/>
    <w:rsid w:val="003676B2"/>
    <w:rsid w:val="003D6361"/>
    <w:rsid w:val="003E286B"/>
    <w:rsid w:val="003E43B2"/>
    <w:rsid w:val="00406CFE"/>
    <w:rsid w:val="00436810"/>
    <w:rsid w:val="00440D8E"/>
    <w:rsid w:val="00441BC1"/>
    <w:rsid w:val="00445A5F"/>
    <w:rsid w:val="00445B0F"/>
    <w:rsid w:val="004F5DEB"/>
    <w:rsid w:val="004F5FEF"/>
    <w:rsid w:val="0054303B"/>
    <w:rsid w:val="0055430D"/>
    <w:rsid w:val="005569BE"/>
    <w:rsid w:val="00567958"/>
    <w:rsid w:val="005A126D"/>
    <w:rsid w:val="005A1956"/>
    <w:rsid w:val="005A6A93"/>
    <w:rsid w:val="005A782B"/>
    <w:rsid w:val="005B68EE"/>
    <w:rsid w:val="005E2A99"/>
    <w:rsid w:val="005F59AF"/>
    <w:rsid w:val="006005BB"/>
    <w:rsid w:val="006059DF"/>
    <w:rsid w:val="00623929"/>
    <w:rsid w:val="006377AA"/>
    <w:rsid w:val="00694445"/>
    <w:rsid w:val="006B749F"/>
    <w:rsid w:val="006B7BCE"/>
    <w:rsid w:val="006C734E"/>
    <w:rsid w:val="006D369F"/>
    <w:rsid w:val="006D5798"/>
    <w:rsid w:val="007133F9"/>
    <w:rsid w:val="007255B6"/>
    <w:rsid w:val="0073206F"/>
    <w:rsid w:val="00763AC9"/>
    <w:rsid w:val="00770ED2"/>
    <w:rsid w:val="00797E11"/>
    <w:rsid w:val="007A6769"/>
    <w:rsid w:val="007C5844"/>
    <w:rsid w:val="007C5CF3"/>
    <w:rsid w:val="007D020E"/>
    <w:rsid w:val="008127EA"/>
    <w:rsid w:val="00837526"/>
    <w:rsid w:val="00876ACE"/>
    <w:rsid w:val="00935A44"/>
    <w:rsid w:val="00955454"/>
    <w:rsid w:val="009719E3"/>
    <w:rsid w:val="0098069F"/>
    <w:rsid w:val="009806AB"/>
    <w:rsid w:val="0099662B"/>
    <w:rsid w:val="009C1527"/>
    <w:rsid w:val="009E168F"/>
    <w:rsid w:val="009E2F35"/>
    <w:rsid w:val="00A127C8"/>
    <w:rsid w:val="00A13C72"/>
    <w:rsid w:val="00A15246"/>
    <w:rsid w:val="00A17450"/>
    <w:rsid w:val="00A21322"/>
    <w:rsid w:val="00A27008"/>
    <w:rsid w:val="00A27050"/>
    <w:rsid w:val="00A449BA"/>
    <w:rsid w:val="00A5027A"/>
    <w:rsid w:val="00A62933"/>
    <w:rsid w:val="00A7407D"/>
    <w:rsid w:val="00A7697A"/>
    <w:rsid w:val="00AB7533"/>
    <w:rsid w:val="00AE1A15"/>
    <w:rsid w:val="00AF00EF"/>
    <w:rsid w:val="00AF6C8D"/>
    <w:rsid w:val="00B039C2"/>
    <w:rsid w:val="00B1739F"/>
    <w:rsid w:val="00B47EFE"/>
    <w:rsid w:val="00B51366"/>
    <w:rsid w:val="00B64457"/>
    <w:rsid w:val="00B7682C"/>
    <w:rsid w:val="00BF141F"/>
    <w:rsid w:val="00C11197"/>
    <w:rsid w:val="00C275DF"/>
    <w:rsid w:val="00C379BA"/>
    <w:rsid w:val="00C44934"/>
    <w:rsid w:val="00C46F4D"/>
    <w:rsid w:val="00C77EA7"/>
    <w:rsid w:val="00C870E6"/>
    <w:rsid w:val="00CE01B9"/>
    <w:rsid w:val="00CE35A9"/>
    <w:rsid w:val="00CF453F"/>
    <w:rsid w:val="00D15441"/>
    <w:rsid w:val="00D76445"/>
    <w:rsid w:val="00D91004"/>
    <w:rsid w:val="00DA2977"/>
    <w:rsid w:val="00DA42AC"/>
    <w:rsid w:val="00DA7363"/>
    <w:rsid w:val="00DA7754"/>
    <w:rsid w:val="00DB28C0"/>
    <w:rsid w:val="00DC01D0"/>
    <w:rsid w:val="00DF427A"/>
    <w:rsid w:val="00E10B8A"/>
    <w:rsid w:val="00E232C7"/>
    <w:rsid w:val="00E279C6"/>
    <w:rsid w:val="00E67ABE"/>
    <w:rsid w:val="00E67C8C"/>
    <w:rsid w:val="00E85492"/>
    <w:rsid w:val="00E91240"/>
    <w:rsid w:val="00ED32DD"/>
    <w:rsid w:val="00EE0D8E"/>
    <w:rsid w:val="00EF3282"/>
    <w:rsid w:val="00EF750B"/>
    <w:rsid w:val="00F15A5C"/>
    <w:rsid w:val="00F25ED2"/>
    <w:rsid w:val="00F71CF8"/>
    <w:rsid w:val="00F750A2"/>
    <w:rsid w:val="00F86D41"/>
    <w:rsid w:val="00F97387"/>
    <w:rsid w:val="00FA79D0"/>
    <w:rsid w:val="00FB4BC2"/>
    <w:rsid w:val="00FD211E"/>
    <w:rsid w:val="00FE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4E3D"/>
  <w15:chartTrackingRefBased/>
  <w15:docId w15:val="{4DC81987-377D-4974-8530-C1FFF65B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49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027A"/>
  </w:style>
  <w:style w:type="character" w:customStyle="1" w:styleId="Heading1Char">
    <w:name w:val="Heading 1 Char"/>
    <w:basedOn w:val="DefaultParagraphFont"/>
    <w:link w:val="Heading1"/>
    <w:uiPriority w:val="9"/>
    <w:rsid w:val="00A449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569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69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69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69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69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9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9B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0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ED2"/>
  </w:style>
  <w:style w:type="paragraph" w:styleId="Footer">
    <w:name w:val="footer"/>
    <w:basedOn w:val="Normal"/>
    <w:link w:val="FooterChar"/>
    <w:uiPriority w:val="99"/>
    <w:unhideWhenUsed/>
    <w:rsid w:val="00770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ED2"/>
  </w:style>
  <w:style w:type="paragraph" w:styleId="Revision">
    <w:name w:val="Revision"/>
    <w:hidden/>
    <w:uiPriority w:val="99"/>
    <w:semiHidden/>
    <w:rsid w:val="00770E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8845B2-CA93-4E99-82A7-CC3809FE7173}" type="doc">
      <dgm:prSet loTypeId="urn:microsoft.com/office/officeart/2011/layout/HexagonRadial" loCatId="officeonlin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5E20AED-C0EB-4656-B243-39EDD0D16D0D}">
      <dgm:prSet phldrT="[Text]"/>
      <dgm:spPr>
        <a:solidFill>
          <a:schemeClr val="accent1">
            <a:lumMod val="75000"/>
          </a:schemeClr>
        </a:solidFill>
      </dgm:spPr>
      <dgm:t>
        <a:bodyPr/>
        <a:lstStyle/>
        <a:p>
          <a:pPr algn="ctr"/>
          <a:r>
            <a:rPr lang="en-US" dirty="0" smtClean="0"/>
            <a:t>Distinguishable, Accommodating, Convenient </a:t>
          </a:r>
          <a:endParaRPr lang="en-US" dirty="0"/>
        </a:p>
      </dgm:t>
    </dgm:pt>
    <dgm:pt modelId="{696B3B4A-8CC6-44BE-AF8C-4878BA8B3354}" type="parTrans" cxnId="{59352DCE-7250-410D-99CC-097AB3B68D2A}">
      <dgm:prSet/>
      <dgm:spPr/>
      <dgm:t>
        <a:bodyPr/>
        <a:lstStyle/>
        <a:p>
          <a:pPr algn="ctr"/>
          <a:endParaRPr lang="en-US"/>
        </a:p>
      </dgm:t>
    </dgm:pt>
    <dgm:pt modelId="{0A96DB11-0FCD-4FAB-AE8D-A38F5D1E4B64}" type="sibTrans" cxnId="{59352DCE-7250-410D-99CC-097AB3B68D2A}">
      <dgm:prSet/>
      <dgm:spPr/>
      <dgm:t>
        <a:bodyPr/>
        <a:lstStyle/>
        <a:p>
          <a:pPr algn="ctr"/>
          <a:endParaRPr lang="en-US"/>
        </a:p>
      </dgm:t>
    </dgm:pt>
    <dgm:pt modelId="{23112238-D02D-4EF3-B7DF-1D167E861EF9}">
      <dgm:prSet phldrT="[Text]"/>
      <dgm:spPr>
        <a:solidFill>
          <a:schemeClr val="accent4"/>
        </a:solidFill>
      </dgm:spPr>
      <dgm:t>
        <a:bodyPr/>
        <a:lstStyle/>
        <a:p>
          <a:pPr algn="ctr"/>
          <a:r>
            <a:rPr lang="en-US" dirty="0" smtClean="0"/>
            <a:t>Clear quiet/isolated space</a:t>
          </a:r>
          <a:endParaRPr lang="en-US" dirty="0"/>
        </a:p>
      </dgm:t>
    </dgm:pt>
    <dgm:pt modelId="{5D4F53E7-A069-4241-847F-0DCD8DF41D8F}" type="parTrans" cxnId="{FDE9D6B7-16CE-405A-A7E0-B9712A7687EE}">
      <dgm:prSet/>
      <dgm:spPr/>
      <dgm:t>
        <a:bodyPr/>
        <a:lstStyle/>
        <a:p>
          <a:pPr algn="ctr"/>
          <a:endParaRPr lang="en-US"/>
        </a:p>
      </dgm:t>
    </dgm:pt>
    <dgm:pt modelId="{662492B2-17F8-4992-990D-A0484ED369CF}" type="sibTrans" cxnId="{FDE9D6B7-16CE-405A-A7E0-B9712A7687EE}">
      <dgm:prSet/>
      <dgm:spPr/>
      <dgm:t>
        <a:bodyPr/>
        <a:lstStyle/>
        <a:p>
          <a:pPr algn="ctr"/>
          <a:endParaRPr lang="en-US"/>
        </a:p>
      </dgm:t>
    </dgm:pt>
    <dgm:pt modelId="{2786C010-6B85-42B0-AC04-7B0E6E12C267}">
      <dgm:prSet phldrT="[Text]"/>
      <dgm:spPr>
        <a:solidFill>
          <a:schemeClr val="accent4"/>
        </a:solidFill>
      </dgm:spPr>
      <dgm:t>
        <a:bodyPr/>
        <a:lstStyle/>
        <a:p>
          <a:pPr algn="ctr"/>
          <a:r>
            <a:rPr lang="en-US" dirty="0" smtClean="0"/>
            <a:t>Clear social/interactive space</a:t>
          </a:r>
          <a:endParaRPr lang="en-US" dirty="0"/>
        </a:p>
      </dgm:t>
    </dgm:pt>
    <dgm:pt modelId="{C37A0D43-00B4-4DB9-A11D-19821ADE3C53}" type="parTrans" cxnId="{4712B2BC-9FA6-4058-8DB6-2A176239158A}">
      <dgm:prSet/>
      <dgm:spPr/>
      <dgm:t>
        <a:bodyPr/>
        <a:lstStyle/>
        <a:p>
          <a:pPr algn="ctr"/>
          <a:endParaRPr lang="en-US"/>
        </a:p>
      </dgm:t>
    </dgm:pt>
    <dgm:pt modelId="{8E2020C1-EC84-478B-B395-6D2E948814F8}" type="sibTrans" cxnId="{4712B2BC-9FA6-4058-8DB6-2A176239158A}">
      <dgm:prSet/>
      <dgm:spPr/>
      <dgm:t>
        <a:bodyPr/>
        <a:lstStyle/>
        <a:p>
          <a:pPr algn="ctr"/>
          <a:endParaRPr lang="en-US"/>
        </a:p>
      </dgm:t>
    </dgm:pt>
    <dgm:pt modelId="{8F6FEE72-704F-4BEB-9380-774880671D8B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US" dirty="0" smtClean="0"/>
            <a:t>Laptop-friendly</a:t>
          </a:r>
          <a:endParaRPr lang="en-US" dirty="0"/>
        </a:p>
      </dgm:t>
    </dgm:pt>
    <dgm:pt modelId="{1827D7DD-F40E-4D77-B0FE-6B016A5934BB}" type="parTrans" cxnId="{45152522-1C04-48E1-AE10-889A9FA10A2B}">
      <dgm:prSet/>
      <dgm:spPr/>
      <dgm:t>
        <a:bodyPr/>
        <a:lstStyle/>
        <a:p>
          <a:pPr algn="ctr"/>
          <a:endParaRPr lang="en-US"/>
        </a:p>
      </dgm:t>
    </dgm:pt>
    <dgm:pt modelId="{D9455132-C07A-406C-9D25-C1C700A65892}" type="sibTrans" cxnId="{45152522-1C04-48E1-AE10-889A9FA10A2B}">
      <dgm:prSet/>
      <dgm:spPr/>
      <dgm:t>
        <a:bodyPr/>
        <a:lstStyle/>
        <a:p>
          <a:pPr algn="ctr"/>
          <a:endParaRPr lang="en-US"/>
        </a:p>
      </dgm:t>
    </dgm:pt>
    <dgm:pt modelId="{B30FF3E1-95EB-4806-9F8B-B28080396940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US" dirty="0" smtClean="0"/>
            <a:t>Library Desktops, Group work, Physical books, Textbooks, Notebooks</a:t>
          </a:r>
          <a:endParaRPr lang="en-US" dirty="0"/>
        </a:p>
      </dgm:t>
    </dgm:pt>
    <dgm:pt modelId="{1ED6766D-6090-4183-85CB-8E5D68275AAE}" type="parTrans" cxnId="{12BFA007-E8FA-419A-BB33-9E4261EFCBF0}">
      <dgm:prSet/>
      <dgm:spPr/>
      <dgm:t>
        <a:bodyPr/>
        <a:lstStyle/>
        <a:p>
          <a:pPr algn="ctr"/>
          <a:endParaRPr lang="en-US"/>
        </a:p>
      </dgm:t>
    </dgm:pt>
    <dgm:pt modelId="{3132BAFB-C9FD-4F99-ADE8-77937974659F}" type="sibTrans" cxnId="{12BFA007-E8FA-419A-BB33-9E4261EFCBF0}">
      <dgm:prSet/>
      <dgm:spPr/>
      <dgm:t>
        <a:bodyPr/>
        <a:lstStyle/>
        <a:p>
          <a:pPr algn="ctr"/>
          <a:endParaRPr lang="en-US"/>
        </a:p>
      </dgm:t>
    </dgm:pt>
    <dgm:pt modelId="{1D37EE22-5E02-437A-8900-E76F543069F6}">
      <dgm:prSet phldrT="[Text]"/>
      <dgm:spPr>
        <a:solidFill>
          <a:schemeClr val="accent2"/>
        </a:solidFill>
      </dgm:spPr>
      <dgm:t>
        <a:bodyPr/>
        <a:lstStyle/>
        <a:p>
          <a:pPr algn="ctr"/>
          <a:r>
            <a:rPr lang="en-US" dirty="0" smtClean="0"/>
            <a:t>Close to classes, food/drink, housing</a:t>
          </a:r>
          <a:endParaRPr lang="en-US" dirty="0"/>
        </a:p>
      </dgm:t>
    </dgm:pt>
    <dgm:pt modelId="{C5FD1DC8-5F3F-4801-9699-EB4E219A5E17}" type="parTrans" cxnId="{4BD9B6DA-57AE-47D0-9040-5C114C501EC6}">
      <dgm:prSet/>
      <dgm:spPr/>
      <dgm:t>
        <a:bodyPr/>
        <a:lstStyle/>
        <a:p>
          <a:pPr algn="ctr"/>
          <a:endParaRPr lang="en-US"/>
        </a:p>
      </dgm:t>
    </dgm:pt>
    <dgm:pt modelId="{C05CAFAB-10BC-4FDA-9DBF-FAAB6E6B9FBD}" type="sibTrans" cxnId="{4BD9B6DA-57AE-47D0-9040-5C114C501EC6}">
      <dgm:prSet/>
      <dgm:spPr/>
      <dgm:t>
        <a:bodyPr/>
        <a:lstStyle/>
        <a:p>
          <a:pPr algn="ctr"/>
          <a:endParaRPr lang="en-US"/>
        </a:p>
      </dgm:t>
    </dgm:pt>
    <dgm:pt modelId="{82738A8F-E20A-4221-9C26-EECA5D0CFE4C}">
      <dgm:prSet phldrT="[Text]"/>
      <dgm:spPr>
        <a:solidFill>
          <a:schemeClr val="accent2"/>
        </a:solidFill>
      </dgm:spPr>
      <dgm:t>
        <a:bodyPr/>
        <a:lstStyle/>
        <a:p>
          <a:pPr algn="ctr"/>
          <a:r>
            <a:rPr lang="en-US" dirty="0" smtClean="0"/>
            <a:t>Available</a:t>
          </a:r>
          <a:endParaRPr lang="en-US" dirty="0"/>
        </a:p>
      </dgm:t>
    </dgm:pt>
    <dgm:pt modelId="{A34446D4-6B04-4DC3-AFFF-B4E50CC973DB}" type="parTrans" cxnId="{FEB13B36-A49F-4371-B803-9018E6732A53}">
      <dgm:prSet/>
      <dgm:spPr/>
      <dgm:t>
        <a:bodyPr/>
        <a:lstStyle/>
        <a:p>
          <a:pPr algn="ctr"/>
          <a:endParaRPr lang="en-US"/>
        </a:p>
      </dgm:t>
    </dgm:pt>
    <dgm:pt modelId="{FAD7FF9C-A7FB-461E-94AE-3218BFF179CA}" type="sibTrans" cxnId="{FEB13B36-A49F-4371-B803-9018E6732A53}">
      <dgm:prSet/>
      <dgm:spPr/>
      <dgm:t>
        <a:bodyPr/>
        <a:lstStyle/>
        <a:p>
          <a:pPr algn="ctr"/>
          <a:endParaRPr lang="en-US"/>
        </a:p>
      </dgm:t>
    </dgm:pt>
    <dgm:pt modelId="{FAF67A40-096B-438F-A02D-D76CBB361D5F}" type="pres">
      <dgm:prSet presAssocID="{4E8845B2-CA93-4E99-82A7-CC3809FE7173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59E1FD1D-DF00-4CF2-941D-4CCDAF3BEC7D}" type="pres">
      <dgm:prSet presAssocID="{85E20AED-C0EB-4656-B243-39EDD0D16D0D}" presName="Parent" presStyleLbl="node0" presStyleIdx="0" presStyleCnt="1">
        <dgm:presLayoutVars>
          <dgm:chMax val="6"/>
          <dgm:chPref val="6"/>
        </dgm:presLayoutVars>
      </dgm:prSet>
      <dgm:spPr/>
      <dgm:t>
        <a:bodyPr/>
        <a:lstStyle/>
        <a:p>
          <a:endParaRPr lang="en-US"/>
        </a:p>
      </dgm:t>
    </dgm:pt>
    <dgm:pt modelId="{E13B4FF8-5D00-4ADC-A0C8-269E92DE9315}" type="pres">
      <dgm:prSet presAssocID="{23112238-D02D-4EF3-B7DF-1D167E861EF9}" presName="Accent1" presStyleCnt="0"/>
      <dgm:spPr/>
    </dgm:pt>
    <dgm:pt modelId="{7B4D0F3E-3919-4450-8EFF-9224B8A71A81}" type="pres">
      <dgm:prSet presAssocID="{23112238-D02D-4EF3-B7DF-1D167E861EF9}" presName="Accent" presStyleLbl="bgShp" presStyleIdx="0" presStyleCnt="6"/>
      <dgm:spPr/>
    </dgm:pt>
    <dgm:pt modelId="{578DE82F-6100-4BE1-9F48-978252717695}" type="pres">
      <dgm:prSet presAssocID="{23112238-D02D-4EF3-B7DF-1D167E861EF9}" presName="Child1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C6C091-F0A4-4563-8291-67B7238C8610}" type="pres">
      <dgm:prSet presAssocID="{2786C010-6B85-42B0-AC04-7B0E6E12C267}" presName="Accent2" presStyleCnt="0"/>
      <dgm:spPr/>
    </dgm:pt>
    <dgm:pt modelId="{AB1993C4-A21A-4CD3-A4B3-B7630C5C6CB4}" type="pres">
      <dgm:prSet presAssocID="{2786C010-6B85-42B0-AC04-7B0E6E12C267}" presName="Accent" presStyleLbl="bgShp" presStyleIdx="1" presStyleCnt="6"/>
      <dgm:spPr>
        <a:noFill/>
      </dgm:spPr>
    </dgm:pt>
    <dgm:pt modelId="{9766B8AD-E131-446A-A942-969ECDDBB387}" type="pres">
      <dgm:prSet presAssocID="{2786C010-6B85-42B0-AC04-7B0E6E12C267}" presName="Child2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84DCF7-B9AE-46EF-915B-10459E0C27E3}" type="pres">
      <dgm:prSet presAssocID="{8F6FEE72-704F-4BEB-9380-774880671D8B}" presName="Accent3" presStyleCnt="0"/>
      <dgm:spPr/>
    </dgm:pt>
    <dgm:pt modelId="{DD01772C-8732-449A-8C1C-E1BEA56032C5}" type="pres">
      <dgm:prSet presAssocID="{8F6FEE72-704F-4BEB-9380-774880671D8B}" presName="Accent" presStyleLbl="bgShp" presStyleIdx="2" presStyleCnt="6" custFlipVert="1" custFlipHor="1" custScaleX="60204" custScaleY="23819" custLinFactX="-297649" custLinFactY="-66704" custLinFactNeighborX="-300000" custLinFactNeighborY="-100000"/>
      <dgm:spPr>
        <a:noFill/>
      </dgm:spPr>
    </dgm:pt>
    <dgm:pt modelId="{FFC2960A-14B5-458B-BF78-AC54BD23E562}" type="pres">
      <dgm:prSet presAssocID="{8F6FEE72-704F-4BEB-9380-774880671D8B}" presName="Child3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9DECBC-346F-4815-AB3E-4EF1C5B9830D}" type="pres">
      <dgm:prSet presAssocID="{B30FF3E1-95EB-4806-9F8B-B28080396940}" presName="Accent4" presStyleCnt="0"/>
      <dgm:spPr/>
    </dgm:pt>
    <dgm:pt modelId="{C21E97E5-5E97-4A4C-ACD7-777AC7659901}" type="pres">
      <dgm:prSet presAssocID="{B30FF3E1-95EB-4806-9F8B-B28080396940}" presName="Accent" presStyleLbl="bgShp" presStyleIdx="3" presStyleCnt="6"/>
      <dgm:spPr>
        <a:noFill/>
      </dgm:spPr>
    </dgm:pt>
    <dgm:pt modelId="{32B8C89C-9298-4335-B930-71603ECF4939}" type="pres">
      <dgm:prSet presAssocID="{B30FF3E1-95EB-4806-9F8B-B28080396940}" presName="Child4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E87B11-B3AC-41A0-ABAE-EC59CA8AF9E9}" type="pres">
      <dgm:prSet presAssocID="{1D37EE22-5E02-437A-8900-E76F543069F6}" presName="Accent5" presStyleCnt="0"/>
      <dgm:spPr/>
    </dgm:pt>
    <dgm:pt modelId="{2099A941-3EC6-406D-BA71-558CE2339DB2}" type="pres">
      <dgm:prSet presAssocID="{1D37EE22-5E02-437A-8900-E76F543069F6}" presName="Accent" presStyleLbl="bgShp" presStyleIdx="4" presStyleCnt="6" custLinFactX="-120063" custLinFactY="-100000" custLinFactNeighborX="-200000" custLinFactNeighborY="-135756"/>
      <dgm:spPr>
        <a:noFill/>
      </dgm:spPr>
    </dgm:pt>
    <dgm:pt modelId="{ACACC052-786F-41C9-B93A-1DC9CA4977F8}" type="pres">
      <dgm:prSet presAssocID="{1D37EE22-5E02-437A-8900-E76F543069F6}" presName="Child5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F4AE13-C33B-44A0-837D-F2C3FA52B4CC}" type="pres">
      <dgm:prSet presAssocID="{82738A8F-E20A-4221-9C26-EECA5D0CFE4C}" presName="Accent6" presStyleCnt="0"/>
      <dgm:spPr/>
    </dgm:pt>
    <dgm:pt modelId="{393CDD2C-F222-48BC-9419-55328E48CEE8}" type="pres">
      <dgm:prSet presAssocID="{82738A8F-E20A-4221-9C26-EECA5D0CFE4C}" presName="Accent" presStyleLbl="bgShp" presStyleIdx="5" presStyleCnt="6"/>
      <dgm:spPr>
        <a:noFill/>
      </dgm:spPr>
    </dgm:pt>
    <dgm:pt modelId="{0FD5F925-1889-41D2-BB7C-ED300B0839BC}" type="pres">
      <dgm:prSet presAssocID="{82738A8F-E20A-4221-9C26-EECA5D0CFE4C}" presName="Child6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9352DCE-7250-410D-99CC-097AB3B68D2A}" srcId="{4E8845B2-CA93-4E99-82A7-CC3809FE7173}" destId="{85E20AED-C0EB-4656-B243-39EDD0D16D0D}" srcOrd="0" destOrd="0" parTransId="{696B3B4A-8CC6-44BE-AF8C-4878BA8B3354}" sibTransId="{0A96DB11-0FCD-4FAB-AE8D-A38F5D1E4B64}"/>
    <dgm:cxn modelId="{12BFA007-E8FA-419A-BB33-9E4261EFCBF0}" srcId="{85E20AED-C0EB-4656-B243-39EDD0D16D0D}" destId="{B30FF3E1-95EB-4806-9F8B-B28080396940}" srcOrd="3" destOrd="0" parTransId="{1ED6766D-6090-4183-85CB-8E5D68275AAE}" sibTransId="{3132BAFB-C9FD-4F99-ADE8-77937974659F}"/>
    <dgm:cxn modelId="{45152522-1C04-48E1-AE10-889A9FA10A2B}" srcId="{85E20AED-C0EB-4656-B243-39EDD0D16D0D}" destId="{8F6FEE72-704F-4BEB-9380-774880671D8B}" srcOrd="2" destOrd="0" parTransId="{1827D7DD-F40E-4D77-B0FE-6B016A5934BB}" sibTransId="{D9455132-C07A-406C-9D25-C1C700A65892}"/>
    <dgm:cxn modelId="{FAB5AF2B-02B2-4668-9DDD-4ADFF83A1F31}" type="presOf" srcId="{85E20AED-C0EB-4656-B243-39EDD0D16D0D}" destId="{59E1FD1D-DF00-4CF2-941D-4CCDAF3BEC7D}" srcOrd="0" destOrd="0" presId="urn:microsoft.com/office/officeart/2011/layout/HexagonRadial"/>
    <dgm:cxn modelId="{1F7C235B-8DB1-4D2F-A51C-BECC9C8DD498}" type="presOf" srcId="{2786C010-6B85-42B0-AC04-7B0E6E12C267}" destId="{9766B8AD-E131-446A-A942-969ECDDBB387}" srcOrd="0" destOrd="0" presId="urn:microsoft.com/office/officeart/2011/layout/HexagonRadial"/>
    <dgm:cxn modelId="{9614C4EF-D6E5-4064-8331-BECA6651F7C3}" type="presOf" srcId="{1D37EE22-5E02-437A-8900-E76F543069F6}" destId="{ACACC052-786F-41C9-B93A-1DC9CA4977F8}" srcOrd="0" destOrd="0" presId="urn:microsoft.com/office/officeart/2011/layout/HexagonRadial"/>
    <dgm:cxn modelId="{E43CF0E8-5869-4B20-8B37-27DCEE19C1CA}" type="presOf" srcId="{4E8845B2-CA93-4E99-82A7-CC3809FE7173}" destId="{FAF67A40-096B-438F-A02D-D76CBB361D5F}" srcOrd="0" destOrd="0" presId="urn:microsoft.com/office/officeart/2011/layout/HexagonRadial"/>
    <dgm:cxn modelId="{946C92F5-3874-4D7C-A2BC-F30820D88940}" type="presOf" srcId="{82738A8F-E20A-4221-9C26-EECA5D0CFE4C}" destId="{0FD5F925-1889-41D2-BB7C-ED300B0839BC}" srcOrd="0" destOrd="0" presId="urn:microsoft.com/office/officeart/2011/layout/HexagonRadial"/>
    <dgm:cxn modelId="{17A661A4-D133-4A4A-8D9A-7C74F96E8EB5}" type="presOf" srcId="{23112238-D02D-4EF3-B7DF-1D167E861EF9}" destId="{578DE82F-6100-4BE1-9F48-978252717695}" srcOrd="0" destOrd="0" presId="urn:microsoft.com/office/officeart/2011/layout/HexagonRadial"/>
    <dgm:cxn modelId="{4712B2BC-9FA6-4058-8DB6-2A176239158A}" srcId="{85E20AED-C0EB-4656-B243-39EDD0D16D0D}" destId="{2786C010-6B85-42B0-AC04-7B0E6E12C267}" srcOrd="1" destOrd="0" parTransId="{C37A0D43-00B4-4DB9-A11D-19821ADE3C53}" sibTransId="{8E2020C1-EC84-478B-B395-6D2E948814F8}"/>
    <dgm:cxn modelId="{FEB13B36-A49F-4371-B803-9018E6732A53}" srcId="{85E20AED-C0EB-4656-B243-39EDD0D16D0D}" destId="{82738A8F-E20A-4221-9C26-EECA5D0CFE4C}" srcOrd="5" destOrd="0" parTransId="{A34446D4-6B04-4DC3-AFFF-B4E50CC973DB}" sibTransId="{FAD7FF9C-A7FB-461E-94AE-3218BFF179CA}"/>
    <dgm:cxn modelId="{3D4DB63E-EDA6-4E7B-9794-37D66CD60F98}" type="presOf" srcId="{B30FF3E1-95EB-4806-9F8B-B28080396940}" destId="{32B8C89C-9298-4335-B930-71603ECF4939}" srcOrd="0" destOrd="0" presId="urn:microsoft.com/office/officeart/2011/layout/HexagonRadial"/>
    <dgm:cxn modelId="{4BD9B6DA-57AE-47D0-9040-5C114C501EC6}" srcId="{85E20AED-C0EB-4656-B243-39EDD0D16D0D}" destId="{1D37EE22-5E02-437A-8900-E76F543069F6}" srcOrd="4" destOrd="0" parTransId="{C5FD1DC8-5F3F-4801-9699-EB4E219A5E17}" sibTransId="{C05CAFAB-10BC-4FDA-9DBF-FAAB6E6B9FBD}"/>
    <dgm:cxn modelId="{FDE9D6B7-16CE-405A-A7E0-B9712A7687EE}" srcId="{85E20AED-C0EB-4656-B243-39EDD0D16D0D}" destId="{23112238-D02D-4EF3-B7DF-1D167E861EF9}" srcOrd="0" destOrd="0" parTransId="{5D4F53E7-A069-4241-847F-0DCD8DF41D8F}" sibTransId="{662492B2-17F8-4992-990D-A0484ED369CF}"/>
    <dgm:cxn modelId="{DD3DF31F-BBCC-404B-AAF4-04E74C57A5E1}" type="presOf" srcId="{8F6FEE72-704F-4BEB-9380-774880671D8B}" destId="{FFC2960A-14B5-458B-BF78-AC54BD23E562}" srcOrd="0" destOrd="0" presId="urn:microsoft.com/office/officeart/2011/layout/HexagonRadial"/>
    <dgm:cxn modelId="{0AEB7E46-851A-414D-AFA9-A4903815C6C3}" type="presParOf" srcId="{FAF67A40-096B-438F-A02D-D76CBB361D5F}" destId="{59E1FD1D-DF00-4CF2-941D-4CCDAF3BEC7D}" srcOrd="0" destOrd="0" presId="urn:microsoft.com/office/officeart/2011/layout/HexagonRadial"/>
    <dgm:cxn modelId="{674E162F-180B-4158-B580-3CCFBE279009}" type="presParOf" srcId="{FAF67A40-096B-438F-A02D-D76CBB361D5F}" destId="{E13B4FF8-5D00-4ADC-A0C8-269E92DE9315}" srcOrd="1" destOrd="0" presId="urn:microsoft.com/office/officeart/2011/layout/HexagonRadial"/>
    <dgm:cxn modelId="{4C9D70C6-9BCE-47F7-96DB-1E1229629BE0}" type="presParOf" srcId="{E13B4FF8-5D00-4ADC-A0C8-269E92DE9315}" destId="{7B4D0F3E-3919-4450-8EFF-9224B8A71A81}" srcOrd="0" destOrd="0" presId="urn:microsoft.com/office/officeart/2011/layout/HexagonRadial"/>
    <dgm:cxn modelId="{E548CF04-F72E-4F52-B7BD-5E035978F24E}" type="presParOf" srcId="{FAF67A40-096B-438F-A02D-D76CBB361D5F}" destId="{578DE82F-6100-4BE1-9F48-978252717695}" srcOrd="2" destOrd="0" presId="urn:microsoft.com/office/officeart/2011/layout/HexagonRadial"/>
    <dgm:cxn modelId="{2BE5612C-18B8-4BBC-94FD-1F01BABF7A46}" type="presParOf" srcId="{FAF67A40-096B-438F-A02D-D76CBB361D5F}" destId="{D4C6C091-F0A4-4563-8291-67B7238C8610}" srcOrd="3" destOrd="0" presId="urn:microsoft.com/office/officeart/2011/layout/HexagonRadial"/>
    <dgm:cxn modelId="{2D27B266-89A3-4736-AE50-E30F4DFEEC73}" type="presParOf" srcId="{D4C6C091-F0A4-4563-8291-67B7238C8610}" destId="{AB1993C4-A21A-4CD3-A4B3-B7630C5C6CB4}" srcOrd="0" destOrd="0" presId="urn:microsoft.com/office/officeart/2011/layout/HexagonRadial"/>
    <dgm:cxn modelId="{155A03AD-2E3B-4D1C-AEBA-DEAB9673843B}" type="presParOf" srcId="{FAF67A40-096B-438F-A02D-D76CBB361D5F}" destId="{9766B8AD-E131-446A-A942-969ECDDBB387}" srcOrd="4" destOrd="0" presId="urn:microsoft.com/office/officeart/2011/layout/HexagonRadial"/>
    <dgm:cxn modelId="{03852DE8-F40C-434B-95F7-F721C6E5D805}" type="presParOf" srcId="{FAF67A40-096B-438F-A02D-D76CBB361D5F}" destId="{2F84DCF7-B9AE-46EF-915B-10459E0C27E3}" srcOrd="5" destOrd="0" presId="urn:microsoft.com/office/officeart/2011/layout/HexagonRadial"/>
    <dgm:cxn modelId="{49D7760B-EEF4-4AFA-9901-58AE25FD31B0}" type="presParOf" srcId="{2F84DCF7-B9AE-46EF-915B-10459E0C27E3}" destId="{DD01772C-8732-449A-8C1C-E1BEA56032C5}" srcOrd="0" destOrd="0" presId="urn:microsoft.com/office/officeart/2011/layout/HexagonRadial"/>
    <dgm:cxn modelId="{AC1DEB2B-D36C-49AE-BE55-7F752427026C}" type="presParOf" srcId="{FAF67A40-096B-438F-A02D-D76CBB361D5F}" destId="{FFC2960A-14B5-458B-BF78-AC54BD23E562}" srcOrd="6" destOrd="0" presId="urn:microsoft.com/office/officeart/2011/layout/HexagonRadial"/>
    <dgm:cxn modelId="{DC95E152-E6CB-47C1-B106-AFE901E92DDF}" type="presParOf" srcId="{FAF67A40-096B-438F-A02D-D76CBB361D5F}" destId="{2D9DECBC-346F-4815-AB3E-4EF1C5B9830D}" srcOrd="7" destOrd="0" presId="urn:microsoft.com/office/officeart/2011/layout/HexagonRadial"/>
    <dgm:cxn modelId="{5727DEF4-8812-4A5E-AD6B-813E48EC45D7}" type="presParOf" srcId="{2D9DECBC-346F-4815-AB3E-4EF1C5B9830D}" destId="{C21E97E5-5E97-4A4C-ACD7-777AC7659901}" srcOrd="0" destOrd="0" presId="urn:microsoft.com/office/officeart/2011/layout/HexagonRadial"/>
    <dgm:cxn modelId="{B30CC763-D5D9-4417-8199-1685C7FDAADA}" type="presParOf" srcId="{FAF67A40-096B-438F-A02D-D76CBB361D5F}" destId="{32B8C89C-9298-4335-B930-71603ECF4939}" srcOrd="8" destOrd="0" presId="urn:microsoft.com/office/officeart/2011/layout/HexagonRadial"/>
    <dgm:cxn modelId="{CF107E86-C104-4FCF-855A-6F9E8AB88D73}" type="presParOf" srcId="{FAF67A40-096B-438F-A02D-D76CBB361D5F}" destId="{59E87B11-B3AC-41A0-ABAE-EC59CA8AF9E9}" srcOrd="9" destOrd="0" presId="urn:microsoft.com/office/officeart/2011/layout/HexagonRadial"/>
    <dgm:cxn modelId="{BD2FD281-0D45-4C1A-9B2E-FBD5BDDC78FC}" type="presParOf" srcId="{59E87B11-B3AC-41A0-ABAE-EC59CA8AF9E9}" destId="{2099A941-3EC6-406D-BA71-558CE2339DB2}" srcOrd="0" destOrd="0" presId="urn:microsoft.com/office/officeart/2011/layout/HexagonRadial"/>
    <dgm:cxn modelId="{5B01C34E-B60E-4E76-9937-ABE09843A51B}" type="presParOf" srcId="{FAF67A40-096B-438F-A02D-D76CBB361D5F}" destId="{ACACC052-786F-41C9-B93A-1DC9CA4977F8}" srcOrd="10" destOrd="0" presId="urn:microsoft.com/office/officeart/2011/layout/HexagonRadial"/>
    <dgm:cxn modelId="{98C867FC-9C5A-43BE-BB8E-3F5445DD4577}" type="presParOf" srcId="{FAF67A40-096B-438F-A02D-D76CBB361D5F}" destId="{6FF4AE13-C33B-44A0-837D-F2C3FA52B4CC}" srcOrd="11" destOrd="0" presId="urn:microsoft.com/office/officeart/2011/layout/HexagonRadial"/>
    <dgm:cxn modelId="{37F49C5F-1D96-45A0-BD79-5637C58EFF6A}" type="presParOf" srcId="{6FF4AE13-C33B-44A0-837D-F2C3FA52B4CC}" destId="{393CDD2C-F222-48BC-9419-55328E48CEE8}" srcOrd="0" destOrd="0" presId="urn:microsoft.com/office/officeart/2011/layout/HexagonRadial"/>
    <dgm:cxn modelId="{BE3D21D8-03F7-4ACD-B9A3-9F261DD58830}" type="presParOf" srcId="{FAF67A40-096B-438F-A02D-D76CBB361D5F}" destId="{0FD5F925-1889-41D2-BB7C-ED300B0839BC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E1FD1D-DF00-4CF2-941D-4CCDAF3BEC7D}">
      <dsp:nvSpPr>
        <dsp:cNvPr id="0" name=""/>
        <dsp:cNvSpPr/>
      </dsp:nvSpPr>
      <dsp:spPr>
        <a:xfrm>
          <a:off x="1751925" y="952557"/>
          <a:ext cx="1210741" cy="1047340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Distinguishable, Accommodating, Convenient </a:t>
          </a:r>
          <a:endParaRPr lang="en-US" sz="700" kern="1200" dirty="0"/>
        </a:p>
      </dsp:txBody>
      <dsp:txXfrm>
        <a:off x="1952562" y="1126116"/>
        <a:ext cx="809467" cy="700222"/>
      </dsp:txXfrm>
    </dsp:sp>
    <dsp:sp modelId="{AB1993C4-A21A-4CD3-A4B3-B7630C5C6CB4}">
      <dsp:nvSpPr>
        <dsp:cNvPr id="0" name=""/>
        <dsp:cNvSpPr/>
      </dsp:nvSpPr>
      <dsp:spPr>
        <a:xfrm>
          <a:off x="2510082" y="451475"/>
          <a:ext cx="456809" cy="393601"/>
        </a:xfrm>
        <a:prstGeom prst="hexagon">
          <a:avLst>
            <a:gd name="adj" fmla="val 28900"/>
            <a:gd name="vf" fmla="val 11547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78DE82F-6100-4BE1-9F48-978252717695}">
      <dsp:nvSpPr>
        <dsp:cNvPr id="0" name=""/>
        <dsp:cNvSpPr/>
      </dsp:nvSpPr>
      <dsp:spPr>
        <a:xfrm>
          <a:off x="1863452" y="0"/>
          <a:ext cx="992194" cy="858364"/>
        </a:xfrm>
        <a:prstGeom prst="hexagon">
          <a:avLst>
            <a:gd name="adj" fmla="val 28570"/>
            <a:gd name="vf" fmla="val 11547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Clear quiet/isolated space</a:t>
          </a:r>
          <a:endParaRPr lang="en-US" sz="700" kern="1200" dirty="0"/>
        </a:p>
      </dsp:txBody>
      <dsp:txXfrm>
        <a:off x="2027880" y="142249"/>
        <a:ext cx="663338" cy="573866"/>
      </dsp:txXfrm>
    </dsp:sp>
    <dsp:sp modelId="{DD01772C-8732-449A-8C1C-E1BEA56032C5}">
      <dsp:nvSpPr>
        <dsp:cNvPr id="0" name=""/>
        <dsp:cNvSpPr/>
      </dsp:nvSpPr>
      <dsp:spPr>
        <a:xfrm flipH="1" flipV="1">
          <a:off x="403994" y="681076"/>
          <a:ext cx="275017" cy="93751"/>
        </a:xfrm>
        <a:prstGeom prst="hexagon">
          <a:avLst>
            <a:gd name="adj" fmla="val 28900"/>
            <a:gd name="vf" fmla="val 11547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66B8AD-E131-446A-A942-969ECDDBB387}">
      <dsp:nvSpPr>
        <dsp:cNvPr id="0" name=""/>
        <dsp:cNvSpPr/>
      </dsp:nvSpPr>
      <dsp:spPr>
        <a:xfrm>
          <a:off x="2773409" y="527951"/>
          <a:ext cx="992194" cy="858364"/>
        </a:xfrm>
        <a:prstGeom prst="hexagon">
          <a:avLst>
            <a:gd name="adj" fmla="val 28570"/>
            <a:gd name="vf" fmla="val 11547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Clear social/interactive space</a:t>
          </a:r>
          <a:endParaRPr lang="en-US" sz="700" kern="1200" dirty="0"/>
        </a:p>
      </dsp:txBody>
      <dsp:txXfrm>
        <a:off x="2937837" y="670200"/>
        <a:ext cx="663338" cy="573866"/>
      </dsp:txXfrm>
    </dsp:sp>
    <dsp:sp modelId="{C21E97E5-5E97-4A4C-ACD7-777AC7659901}">
      <dsp:nvSpPr>
        <dsp:cNvPr id="0" name=""/>
        <dsp:cNvSpPr/>
      </dsp:nvSpPr>
      <dsp:spPr>
        <a:xfrm>
          <a:off x="2672866" y="2017909"/>
          <a:ext cx="456809" cy="393601"/>
        </a:xfrm>
        <a:prstGeom prst="hexagon">
          <a:avLst>
            <a:gd name="adj" fmla="val 28900"/>
            <a:gd name="vf" fmla="val 11547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FC2960A-14B5-458B-BF78-AC54BD23E562}">
      <dsp:nvSpPr>
        <dsp:cNvPr id="0" name=""/>
        <dsp:cNvSpPr/>
      </dsp:nvSpPr>
      <dsp:spPr>
        <a:xfrm>
          <a:off x="2773409" y="1565843"/>
          <a:ext cx="992194" cy="858364"/>
        </a:xfrm>
        <a:prstGeom prst="hexagon">
          <a:avLst>
            <a:gd name="adj" fmla="val 28570"/>
            <a:gd name="vf" fmla="val 11547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Laptop-friendly</a:t>
          </a:r>
          <a:endParaRPr lang="en-US" sz="700" kern="1200" dirty="0"/>
        </a:p>
      </dsp:txBody>
      <dsp:txXfrm>
        <a:off x="2937837" y="1708092"/>
        <a:ext cx="663338" cy="573866"/>
      </dsp:txXfrm>
    </dsp:sp>
    <dsp:sp modelId="{2099A941-3EC6-406D-BA71-558CE2339DB2}">
      <dsp:nvSpPr>
        <dsp:cNvPr id="0" name=""/>
        <dsp:cNvSpPr/>
      </dsp:nvSpPr>
      <dsp:spPr>
        <a:xfrm>
          <a:off x="292101" y="1176190"/>
          <a:ext cx="456809" cy="393601"/>
        </a:xfrm>
        <a:prstGeom prst="hexagon">
          <a:avLst>
            <a:gd name="adj" fmla="val 28900"/>
            <a:gd name="vf" fmla="val 11547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2B8C89C-9298-4335-B930-71603ECF4939}">
      <dsp:nvSpPr>
        <dsp:cNvPr id="0" name=""/>
        <dsp:cNvSpPr/>
      </dsp:nvSpPr>
      <dsp:spPr>
        <a:xfrm>
          <a:off x="1863452" y="2094385"/>
          <a:ext cx="992194" cy="858364"/>
        </a:xfrm>
        <a:prstGeom prst="hexagon">
          <a:avLst>
            <a:gd name="adj" fmla="val 28570"/>
            <a:gd name="vf" fmla="val 11547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Library Desktops, Group work, Physical books, Textbooks, Notebooks</a:t>
          </a:r>
          <a:endParaRPr lang="en-US" sz="700" kern="1200" dirty="0"/>
        </a:p>
      </dsp:txBody>
      <dsp:txXfrm>
        <a:off x="2027880" y="2236634"/>
        <a:ext cx="663338" cy="573866"/>
      </dsp:txXfrm>
    </dsp:sp>
    <dsp:sp modelId="{393CDD2C-F222-48BC-9419-55328E48CEE8}">
      <dsp:nvSpPr>
        <dsp:cNvPr id="0" name=""/>
        <dsp:cNvSpPr/>
      </dsp:nvSpPr>
      <dsp:spPr>
        <a:xfrm>
          <a:off x="1212316" y="1368599"/>
          <a:ext cx="456809" cy="393601"/>
        </a:xfrm>
        <a:prstGeom prst="hexagon">
          <a:avLst>
            <a:gd name="adj" fmla="val 28900"/>
            <a:gd name="vf" fmla="val 11547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ACC052-786F-41C9-B93A-1DC9CA4977F8}">
      <dsp:nvSpPr>
        <dsp:cNvPr id="0" name=""/>
        <dsp:cNvSpPr/>
      </dsp:nvSpPr>
      <dsp:spPr>
        <a:xfrm>
          <a:off x="949271" y="1566433"/>
          <a:ext cx="992194" cy="858364"/>
        </a:xfrm>
        <a:prstGeom prst="hexagon">
          <a:avLst>
            <a:gd name="adj" fmla="val 28570"/>
            <a:gd name="vf" fmla="val 11547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Close to classes, food/drink, housing</a:t>
          </a:r>
          <a:endParaRPr lang="en-US" sz="700" kern="1200" dirty="0"/>
        </a:p>
      </dsp:txBody>
      <dsp:txXfrm>
        <a:off x="1113699" y="1708682"/>
        <a:ext cx="663338" cy="573866"/>
      </dsp:txXfrm>
    </dsp:sp>
    <dsp:sp modelId="{0FD5F925-1889-41D2-BB7C-ED300B0839BC}">
      <dsp:nvSpPr>
        <dsp:cNvPr id="0" name=""/>
        <dsp:cNvSpPr/>
      </dsp:nvSpPr>
      <dsp:spPr>
        <a:xfrm>
          <a:off x="949271" y="526770"/>
          <a:ext cx="992194" cy="858364"/>
        </a:xfrm>
        <a:prstGeom prst="hexagon">
          <a:avLst>
            <a:gd name="adj" fmla="val 28570"/>
            <a:gd name="vf" fmla="val 11547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Available</a:t>
          </a:r>
          <a:endParaRPr lang="en-US" sz="700" kern="1200" dirty="0"/>
        </a:p>
      </dsp:txBody>
      <dsp:txXfrm>
        <a:off x="1113699" y="669019"/>
        <a:ext cx="663338" cy="5738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5</Pages>
  <Words>1923</Words>
  <Characters>10964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Somani</dc:creator>
  <cp:keywords/>
  <dc:description/>
  <cp:lastModifiedBy>Khalil Somani</cp:lastModifiedBy>
  <cp:revision>60</cp:revision>
  <cp:lastPrinted>2016-06-05T23:48:00Z</cp:lastPrinted>
  <dcterms:created xsi:type="dcterms:W3CDTF">2016-06-04T21:36:00Z</dcterms:created>
  <dcterms:modified xsi:type="dcterms:W3CDTF">2016-06-05T23:52:00Z</dcterms:modified>
</cp:coreProperties>
</file>