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Times New Roman" w:hAnsi="Times New Roman"/>
          <w:b/>
          <w:sz w:val="28"/>
        </w:rPr>
        <w:t>Two Decades of Highly Pathogenic Avian Influenza in Bangladesh: Spatiotemporal Patterns, Seasonality, and Emerging Wildlife Detections, 2007-2025</w:t>
      </w:r>
    </w:p>
    <w:p>
      <w:pPr>
        <w:spacing w:after="120"/>
        <w:jc w:val="center"/>
      </w:pPr>
      <w:r>
        <w:rPr>
          <w:rFonts w:ascii="Times New Roman" w:hAnsi="Times New Roman"/>
          <w:sz w:val="24"/>
        </w:rPr>
        <w:t>Khalilur Rahman Ridoy Khan</w:t>
      </w:r>
    </w:p>
    <w:p>
      <w:pPr>
        <w:spacing w:after="120"/>
        <w:jc w:val="center"/>
      </w:pPr>
      <w:r>
        <w:rPr>
          <w:rFonts w:ascii="Times New Roman" w:hAnsi="Times New Roman"/>
          <w:i/>
          <w:sz w:val="22"/>
        </w:rPr>
        <w:t>Independent Researcher, Dhaka, Bangladesh</w:t>
      </w:r>
    </w:p>
    <w:p>
      <w:pPr>
        <w:spacing w:after="960"/>
        <w:jc w:val="center"/>
      </w:pPr>
      <w:r>
        <w:rPr>
          <w:rFonts w:ascii="Times New Roman" w:hAnsi="Times New Roman"/>
          <w:sz w:val="22"/>
        </w:rPr>
        <w:t>Correspondence: khalilurrahmanridoykhan@gmail.com</w:t>
      </w:r>
    </w:p>
    <w:p>
      <w:pPr>
        <w:jc w:val="center"/>
      </w:pPr>
      <w:r>
        <w:rPr>
          <w:rFonts w:ascii="Times New Roman" w:hAnsi="Times New Roman"/>
          <w:sz w:val="22"/>
        </w:rPr>
        <w:t>Running title: Bangladesh HPAI Spatiotemporal Analysis 2007-2025</w:t>
        <w:br/>
        <w:t>Manuscript type: Original Research Article (One Health / Veterinary Epidemiology)</w:t>
      </w:r>
    </w:p>
    <w:p>
      <w:r>
        <w:br w:type="page"/>
      </w:r>
    </w:p>
    <w:p>
      <w:pPr>
        <w:pStyle w:val="Heading1"/>
        <w:jc w:val="left"/>
      </w:pPr>
      <w:r>
        <w:rPr>
          <w:rFonts w:ascii="Times New Roman" w:hAnsi="Times New Roman"/>
          <w:b/>
          <w:sz w:val="26"/>
        </w:rPr>
        <w:t>Abstract</w:t>
      </w:r>
    </w:p>
    <w:p>
      <w:pPr>
        <w:spacing w:after="120" w:line="440" w:lineRule="exact"/>
        <w:jc w:val="both"/>
      </w:pPr>
      <w:r>
        <w:rPr>
          <w:rFonts w:ascii="Times New Roman" w:hAnsi="Times New Roman"/>
          <w:b/>
          <w:i w:val="0"/>
          <w:sz w:val="24"/>
        </w:rPr>
        <w:t xml:space="preserve">Background: </w:t>
      </w:r>
      <w:r>
        <w:rPr>
          <w:rFonts w:ascii="Times New Roman" w:hAnsi="Times New Roman"/>
          <w:b w:val="0"/>
          <w:i w:val="0"/>
          <w:sz w:val="24"/>
        </w:rPr>
        <w:t>Highly pathogenic avian influenza (HPAI) has recurred in Bangladesh's poultry sector since 2007, with periodic detections in wild birds since 2017. Most published analyses of Bangladesh HPAI cover only the initial 2007-2013 epidemic wave using farm-level survey data. A systematic characterisation using the full official international surveillance record through 2025 -- including recent wildlife detections -- has not been available.</w:t>
      </w:r>
    </w:p>
    <w:p>
      <w:pPr>
        <w:spacing w:after="120" w:line="440" w:lineRule="exact"/>
        <w:jc w:val="both"/>
      </w:pPr>
      <w:r>
        <w:rPr>
          <w:rFonts w:ascii="Times New Roman" w:hAnsi="Times New Roman"/>
          <w:b/>
          <w:i w:val="0"/>
          <w:sz w:val="24"/>
        </w:rPr>
        <w:t xml:space="preserve">Methods: </w:t>
      </w:r>
      <w:r>
        <w:rPr>
          <w:rFonts w:ascii="Times New Roman" w:hAnsi="Times New Roman"/>
          <w:b w:val="0"/>
          <w:i w:val="0"/>
          <w:sz w:val="24"/>
        </w:rPr>
        <w:t>We built a reproducible pipeline on three linked data products from the World Organisation for Animal Health (WOAH) World Animal Health Information System (WAHIS) for Bangladesh: six-month country reports, an event-level quantitative-data export (division, semester, species, and serotype resolution), and individual outbreak/event records (2007-2025). Division-level climate covariates (temperature, relative humidity, precipitation; NASA POWER) and a static 2020 poultry-density layer (FAO Gridded Livestock of the World v4) were merged with outbreak counts. Associations were tested with Pearson correlation and a negative-binomial regression with division fixed effects.</w:t>
      </w:r>
    </w:p>
    <w:p>
      <w:pPr>
        <w:spacing w:after="120" w:line="440" w:lineRule="exact"/>
        <w:jc w:val="both"/>
      </w:pPr>
      <w:r>
        <w:rPr>
          <w:rFonts w:ascii="Times New Roman" w:hAnsi="Times New Roman"/>
          <w:b/>
          <w:i w:val="0"/>
          <w:sz w:val="24"/>
        </w:rPr>
        <w:t xml:space="preserve">Results: </w:t>
      </w:r>
      <w:r>
        <w:rPr>
          <w:rFonts w:ascii="Times New Roman" w:hAnsi="Times New Roman"/>
          <w:b w:val="0"/>
          <w:i w:val="0"/>
          <w:sz w:val="24"/>
        </w:rPr>
        <w:t>Bangladesh reported 564 new HPAI outbreaks across 8 administrative divisions/localities from 2007 to 2025, with 465,003 susceptible-animal cases, 2,391,300 birds killed/disposed of under control measures, and 447,872 recorded deaths. Dhaka division carried the highest burden (266 outbreaks; 267 including a 2025 event in Narayanganj Sadar), followed by Rajshahi (131) and Chittagong (81); Sylhet recorded the fewest (4). Outbreaks were strongly seasonal: 525 of 563 division-resolved outbreaks (93.3%) occurred in the January-June (dry/cool) semester versus 38 in July-December (monsoon). Temperature, humidity, and precipitation were each significantly associated with outbreak counts (p&lt;0.05) after controlling for division in a negative-binomial model (pseudo R2 = 0.136). A finer-resolution reconstruction of the largest tracked event (2007-2013, 549 cumulative outbreaks across 46 follow-up reports) revealed two distinct epidemic peaks -- April 2008 (156 new outbreaks in one report) and March 2011 (67) -- separated by a quiet 2009-2010 period, which is invisible in semester-aggregated data. Wild-species detections (House Crow, unidentified Phasianidae) were recorded 2016-2019, and the most recent record (April 2025) was H5N1 in a captive Serval (wild cat) in Narayanganj, with 2 of 2 susceptible animals dying.</w:t>
      </w:r>
    </w:p>
    <w:p>
      <w:pPr>
        <w:spacing w:after="120" w:line="440" w:lineRule="exact"/>
        <w:jc w:val="both"/>
      </w:pPr>
      <w:r>
        <w:rPr>
          <w:rFonts w:ascii="Times New Roman" w:hAnsi="Times New Roman"/>
          <w:b/>
          <w:i w:val="0"/>
          <w:sz w:val="24"/>
        </w:rPr>
        <w:t xml:space="preserve">Conclusions: </w:t>
      </w:r>
      <w:r>
        <w:rPr>
          <w:rFonts w:ascii="Times New Roman" w:hAnsi="Times New Roman"/>
          <w:b w:val="0"/>
          <w:i w:val="0"/>
          <w:sz w:val="24"/>
        </w:rPr>
        <w:t>Bangladesh's HPAI burden is concentrated in Dhaka division and strongly concentrated in the dry season, a pattern that persists after controlling for division-level differences and that is not explained by poultry density alone. The 2025 captive-Serval detection illustrates an emerging One Health surveillance need -- confirmed spillover into non-poultry hosts, distinct from the historical poultry-sector pattern -- that warrants closer integration of veterinary, wildlife, and public health surveillance in Bangladesh.</w:t>
      </w:r>
    </w:p>
    <w:p>
      <w:pPr>
        <w:spacing w:after="120" w:line="440" w:lineRule="exact"/>
        <w:jc w:val="both"/>
      </w:pPr>
      <w:r>
        <w:rPr>
          <w:rFonts w:ascii="Times New Roman" w:hAnsi="Times New Roman"/>
          <w:b/>
          <w:i w:val="0"/>
          <w:sz w:val="24"/>
        </w:rPr>
        <w:t xml:space="preserve">Keywords: </w:t>
      </w:r>
      <w:r>
        <w:rPr>
          <w:rFonts w:ascii="Times New Roman" w:hAnsi="Times New Roman"/>
          <w:b w:val="0"/>
          <w:i/>
          <w:sz w:val="24"/>
        </w:rPr>
        <w:t>avian influenza; H5N1; Bangladesh; One Health; WAHIS; poultry; seasonality; zoonotic disease; wildlife spillover</w:t>
      </w:r>
    </w:p>
    <w:p>
      <w:r>
        <w:br w:type="page"/>
      </w:r>
    </w:p>
    <w:p>
      <w:pPr>
        <w:pStyle w:val="Heading1"/>
        <w:jc w:val="left"/>
      </w:pPr>
      <w:r>
        <w:rPr>
          <w:rFonts w:ascii="Times New Roman" w:hAnsi="Times New Roman"/>
          <w:b/>
          <w:sz w:val="26"/>
        </w:rPr>
        <w:t>1. Introduction</w:t>
      </w:r>
    </w:p>
    <w:p>
      <w:pPr>
        <w:spacing w:after="120" w:before="0" w:line="440" w:lineRule="exact"/>
        <w:ind w:firstLine="720"/>
        <w:jc w:val="both"/>
      </w:pPr>
      <w:r>
        <w:rPr>
          <w:rFonts w:ascii="Times New Roman" w:hAnsi="Times New Roman"/>
          <w:b w:val="0"/>
          <w:i w:val="0"/>
          <w:sz w:val="24"/>
        </w:rPr>
        <w:t>Highly pathogenic avian influenza (HPAI), predominantly subtype H5N1, has caused recurring epizootics in domestic poultry across South and Southeast Asia since the early 2000s, with periodic spillover into wild birds and, more recently, mammals [1,2]. Bangladesh, one of the world's most densely populated countries with a large and predominantly informal live-bird-market poultry sector, reported its first HPAI outbreaks in early 2007 and has since experienced repeated epidemic waves [3,4].</w:t>
      </w:r>
    </w:p>
    <w:p>
      <w:pPr>
        <w:spacing w:after="120" w:before="0" w:line="440" w:lineRule="exact"/>
        <w:ind w:firstLine="720"/>
        <w:jc w:val="both"/>
      </w:pPr>
      <w:r>
        <w:rPr>
          <w:rFonts w:ascii="Times New Roman" w:hAnsi="Times New Roman"/>
          <w:b w:val="0"/>
          <w:i w:val="0"/>
          <w:sz w:val="24"/>
        </w:rPr>
        <w:t>Most published characterisations of HPAI in Bangladesh focus on the initial 2007-2013 epidemic wave, drawing on farm-level surveillance and risk-factor studies conducted during that period [3,4]. Since 2017, the World Organisation for Animal Health (WOAH) has separately tracked HPAI in non-poultry and wild-bird hosts, and Bangladesh's WAHIS record now extends through 2025, including a 2025 detection in a captive wild mammal. A systematic, reproducible characterisation spanning the full 2007-2025 WAHIS record -- integrating outbreak counts, species involved, and environmental covariates -- has not, to our knowledge, been previously reported.</w:t>
      </w:r>
    </w:p>
    <w:p>
      <w:pPr>
        <w:spacing w:after="120" w:before="0" w:line="440" w:lineRule="exact"/>
        <w:ind w:firstLine="720"/>
        <w:jc w:val="both"/>
      </w:pPr>
      <w:r>
        <w:rPr>
          <w:rFonts w:ascii="Times New Roman" w:hAnsi="Times New Roman"/>
          <w:b w:val="0"/>
          <w:i w:val="0"/>
          <w:sz w:val="24"/>
        </w:rPr>
        <w:t>This gap matters for two reasons. First, HPAI H5N1 remains a priority zoonotic and pandemic-preparedness concern; the same virus family has caused sporadic severe human infections regionally, and understanding the spatial and seasonal structure of poultry-sector risk in Bangladesh has direct relevance for early-warning system design. Second, the global emergence since 2020 of H5N1 clade 2.3.4.4b, with documented spillover into a widening range of wild and domestic mammals internationally, makes any confirmed non-poultry detection -- such as the 2025 Bangladesh event described here -- worth characterising carefully within a One Health framework, even from a single case, rather than only after a larger cluster emerges.</w:t>
      </w:r>
    </w:p>
    <w:p>
      <w:pPr>
        <w:spacing w:after="120" w:before="0" w:line="440" w:lineRule="exact"/>
        <w:ind w:firstLine="720"/>
        <w:jc w:val="both"/>
      </w:pPr>
      <w:r>
        <w:rPr>
          <w:rFonts w:ascii="Times New Roman" w:hAnsi="Times New Roman"/>
          <w:b w:val="0"/>
          <w:i w:val="0"/>
          <w:sz w:val="24"/>
        </w:rPr>
        <w:t>This study aimed to: (1) characterise the temporal and spatial distribution of officially reported HPAI outbreaks in Bangladesh, 2007-2025; (2) quantify the association between outbreak occurrence and division-level climate and poultry-density covariates; (3) reconstruct a finer-resolution epidemic curve for the largest tracked outbreak wave using individual report dates; and (4) document the species involved in reported events, including the most recent non-poultry detection.</w:t>
      </w:r>
    </w:p>
    <w:p>
      <w:pPr>
        <w:pStyle w:val="Heading1"/>
        <w:jc w:val="left"/>
      </w:pPr>
      <w:r>
        <w:rPr>
          <w:rFonts w:ascii="Times New Roman" w:hAnsi="Times New Roman"/>
          <w:b/>
          <w:sz w:val="26"/>
        </w:rPr>
        <w:t>2. Methods</w:t>
      </w:r>
    </w:p>
    <w:p>
      <w:pPr>
        <w:pStyle w:val="Heading2"/>
        <w:jc w:val="left"/>
      </w:pPr>
      <w:r>
        <w:rPr>
          <w:rFonts w:ascii="Times New Roman" w:hAnsi="Times New Roman"/>
          <w:b/>
          <w:sz w:val="24"/>
        </w:rPr>
        <w:t>2.1 Study Design and Data Sources</w:t>
      </w:r>
    </w:p>
    <w:p>
      <w:pPr>
        <w:spacing w:after="120" w:before="0" w:line="440" w:lineRule="exact"/>
        <w:ind w:firstLine="720"/>
        <w:jc w:val="both"/>
      </w:pPr>
      <w:r>
        <w:rPr>
          <w:rFonts w:ascii="Times New Roman" w:hAnsi="Times New Roman"/>
          <w:b w:val="0"/>
          <w:i w:val="0"/>
          <w:sz w:val="24"/>
        </w:rPr>
        <w:t>We conducted a retrospective descriptive and ecological analysis of official HPAI surveillance data for Bangladesh reported to WOAH through the World Animal Health Information System (WAHIS, https://wahis.woah.org), accessed August 2026. WAHIS aggregates three linked data products used in this study: (i) six-month country reports (Analytics &gt; Disease situation), giving a national presence/absence/no-information status per disease per semester since 2005; (ii) an event-level quantitative-data export (Analytics &gt; Quantitative data), resolved to administrative division, semester, animal category, species, and serotype/subtype, with new-outbreak counts and susceptible/case/death/culling numbers; and (iii) individual animal-disease events (Reports &gt; Animal disease events), each comprising one or more dated follow-up reports and, at the individual-outbreak level, exact coordinates. We restricted all analyses to the two WAHIS disease listings covering HPAI: 'High pathogenicity avian influenza viruses (Inf. with) (poultry)' and 'Influenza A viruses of high pathogenicity (Inf. with) (non-poultry including wild birds) (2017-)', the latter introduced when WOAH separated non-poultry hosts into its own listing in 2017.</w:t>
      </w:r>
    </w:p>
    <w:p>
      <w:pPr>
        <w:pStyle w:val="Heading2"/>
        <w:jc w:val="left"/>
      </w:pPr>
      <w:r>
        <w:rPr>
          <w:rFonts w:ascii="Times New Roman" w:hAnsi="Times New Roman"/>
          <w:b/>
          <w:sz w:val="24"/>
        </w:rPr>
        <w:t>2.2 Data Extraction and Cleaning</w:t>
      </w:r>
    </w:p>
    <w:p>
      <w:pPr>
        <w:spacing w:after="120" w:before="0" w:line="440" w:lineRule="exact"/>
        <w:ind w:firstLine="720"/>
        <w:jc w:val="both"/>
      </w:pPr>
      <w:r>
        <w:rPr>
          <w:rFonts w:ascii="Times New Roman" w:hAnsi="Times New Roman"/>
          <w:b w:val="0"/>
          <w:i w:val="0"/>
          <w:sz w:val="24"/>
        </w:rPr>
        <w:t>WAHIS's public dashboards render as client-side applications behind bot protection (Cloudflare on the WAHIS domain; a Flutter web application with no discoverable public API on the companion FAO EMPRES-i+ platform), so all exports were retrieved through the standard browser export functions rather than programmatic scraping. Placeholder values ('-') in the quantitative-data export denote 'not reported' and were retained as missing (not coerced to zero) throughout. New-outbreak counts, which WAHIS records on whichever row of a division/semester/species group carries a value rather than consistently on an aggregate row, were reconciled by summing within each group. Bangladesh's current 8-division administrative boundary (geoBoundaries ADM1 [5]) was dissolved to the 7-division scheme used by WAHIS's division field, merging Mymensingh (split from Dhaka in 2015) back into Dhaka; the one outbreak record resolved to the upazila 'Narayanganj Sadar' was assigned to Dhaka division for mapping and division-level covariate purposes.</w:t>
      </w:r>
    </w:p>
    <w:p>
      <w:pPr>
        <w:pStyle w:val="Heading2"/>
        <w:jc w:val="left"/>
      </w:pPr>
      <w:r>
        <w:rPr>
          <w:rFonts w:ascii="Times New Roman" w:hAnsi="Times New Roman"/>
          <w:b/>
          <w:sz w:val="24"/>
        </w:rPr>
        <w:t>2.3 Climate and Poultry-Density Covariates</w:t>
      </w:r>
    </w:p>
    <w:p>
      <w:pPr>
        <w:spacing w:after="120" w:before="0" w:line="440" w:lineRule="exact"/>
        <w:ind w:firstLine="720"/>
        <w:jc w:val="both"/>
      </w:pPr>
      <w:r>
        <w:rPr>
          <w:rFonts w:ascii="Times New Roman" w:hAnsi="Times New Roman"/>
          <w:b w:val="0"/>
          <w:i w:val="0"/>
          <w:sz w:val="24"/>
        </w:rPr>
        <w:t>Division-centroid daily temperature, relative humidity, and precipitation (2007-2025) were obtained from the NASA POWER point API (power.larc.nasa.gov [6]) and aggregated to WAHIS reporting semesters. Chicken density (head/km2) was obtained from the FAO Gridded Livestock of the World, version 4 (GLW4), 2020, 10 km resolution [7], and zonal-averaged per division. Because GLW4 provides a single cross-sectional year, poultry density was used as a static relative-exposure covariate, not a year-matched population estimate; Bangladesh's poultry sector is known to have grown substantially over the 2007-2025 study period, so absolute headcounts derived from this layer should not be read as historical estimates.</w:t>
      </w:r>
    </w:p>
    <w:p>
      <w:pPr>
        <w:pStyle w:val="Heading2"/>
        <w:jc w:val="left"/>
      </w:pPr>
      <w:r>
        <w:rPr>
          <w:rFonts w:ascii="Times New Roman" w:hAnsi="Times New Roman"/>
          <w:b/>
          <w:sz w:val="24"/>
        </w:rPr>
        <w:t>2.4 Statistical Analysis</w:t>
      </w:r>
    </w:p>
    <w:p>
      <w:pPr>
        <w:spacing w:after="120" w:before="0" w:line="440" w:lineRule="exact"/>
        <w:ind w:firstLine="720"/>
        <w:jc w:val="both"/>
      </w:pPr>
      <w:r>
        <w:rPr>
          <w:rFonts w:ascii="Times New Roman" w:hAnsi="Times New Roman"/>
          <w:b w:val="0"/>
          <w:i w:val="0"/>
          <w:sz w:val="24"/>
        </w:rPr>
        <w:t>Pairwise associations between semester-level outbreak counts and climate/poultry covariates were assessed with Pearson correlation. A negative-binomial regression (new outbreaks ~ temperature + humidity + precipitation + division fixed effects) was fitted by maximum likelihood (BFGS optimiser) across the complete 7-division x 38-semester panel (266 division-semester observations, including explicit zero-outbreak semesters). Poultry density, being a single static value per division, is perfectly collinear with the division fixed effects and was therefore not included in this model; its association with outbreak burden was instead assessed only as a raw between-division Pearson correlation. A finer-resolution epidemic curve was reconstructed for the largest tracked WAHIS event (event ID 192, spanning 2007-2013) from the reporting dates and cumulative outbreak counts of its 46 individual follow-up reports; because this timestamp reflects when a report was submitted rather than a verified outbreak onset date, this analysis is presented as report-level, not outbreak-level, temporal resolution. All analyses were performed in Python 3.12 using pandas, geopandas, rasterio/rasterstats, and statsmodels 0.14.6.</w:t>
      </w:r>
    </w:p>
    <w:p>
      <w:pPr>
        <w:pStyle w:val="Heading2"/>
        <w:jc w:val="left"/>
      </w:pPr>
      <w:r>
        <w:rPr>
          <w:rFonts w:ascii="Times New Roman" w:hAnsi="Times New Roman"/>
          <w:b/>
          <w:sz w:val="24"/>
        </w:rPr>
        <w:t>2.5 Ethical Considerations</w:t>
      </w:r>
    </w:p>
    <w:p>
      <w:pPr>
        <w:spacing w:after="120" w:before="0" w:line="440" w:lineRule="exact"/>
        <w:ind w:firstLine="720"/>
        <w:jc w:val="both"/>
      </w:pPr>
      <w:r>
        <w:rPr>
          <w:rFonts w:ascii="Times New Roman" w:hAnsi="Times New Roman"/>
          <w:b w:val="0"/>
          <w:i w:val="0"/>
          <w:sz w:val="24"/>
        </w:rPr>
        <w:t>This study used only publicly available, aggregated animal-health surveillance data. No individually identifiable human data were accessed at any stage. Ethical review board approval was not required, consistent with standard practice for analyses of publicly available, de-identified veterinary surveillance data.</w:t>
      </w:r>
    </w:p>
    <w:p>
      <w:pPr>
        <w:pStyle w:val="Heading1"/>
        <w:jc w:val="left"/>
      </w:pPr>
      <w:r>
        <w:rPr>
          <w:rFonts w:ascii="Times New Roman" w:hAnsi="Times New Roman"/>
          <w:b/>
          <w:sz w:val="26"/>
        </w:rPr>
        <w:t>3. Results</w:t>
      </w:r>
    </w:p>
    <w:p>
      <w:pPr>
        <w:pStyle w:val="Heading2"/>
        <w:jc w:val="left"/>
      </w:pPr>
      <w:r>
        <w:rPr>
          <w:rFonts w:ascii="Times New Roman" w:hAnsi="Times New Roman"/>
          <w:b/>
          <w:sz w:val="24"/>
        </w:rPr>
        <w:t>3.1 National Reporting Status, 2007-2025</w:t>
      </w:r>
    </w:p>
    <w:p>
      <w:pPr>
        <w:spacing w:after="120" w:before="0" w:line="440" w:lineRule="exact"/>
        <w:ind w:firstLine="720"/>
        <w:jc w:val="both"/>
      </w:pPr>
      <w:r>
        <w:rPr>
          <w:rFonts w:ascii="Times New Roman" w:hAnsi="Times New Roman"/>
          <w:b w:val="0"/>
          <w:i w:val="0"/>
          <w:sz w:val="24"/>
        </w:rPr>
        <w:t>Bangladesh's six-month country reports show HPAI present in poultry for the majority of semesters from 2007 through 2013, a return to absence through 2015-2016, and intermittent presence in 2017-2018 and again in 2025 (Figure 1). No six-month report rows exist for 2021 or 2022 -- distinct from an explicit 'no information' status -- so this period cannot be classified as either confirmed absence or unreported presence from these data alone.</w:t>
      </w:r>
    </w:p>
    <w:p>
      <w:pPr>
        <w:jc w:val="center"/>
      </w:pPr>
      <w:r>
        <w:drawing>
          <wp:inline xmlns:a="http://schemas.openxmlformats.org/drawingml/2006/main" xmlns:pic="http://schemas.openxmlformats.org/drawingml/2006/picture">
            <wp:extent cx="5029200" cy="1167536"/>
            <wp:docPr id="1" name="Picture 1"/>
            <wp:cNvGraphicFramePr>
              <a:graphicFrameLocks noChangeAspect="1"/>
            </wp:cNvGraphicFramePr>
            <a:graphic>
              <a:graphicData uri="http://schemas.openxmlformats.org/drawingml/2006/picture">
                <pic:pic>
                  <pic:nvPicPr>
                    <pic:cNvPr id="0" name="fig1_semester_status_timeline.png"/>
                    <pic:cNvPicPr/>
                  </pic:nvPicPr>
                  <pic:blipFill>
                    <a:blip r:embed="rId9"/>
                    <a:stretch>
                      <a:fillRect/>
                    </a:stretch>
                  </pic:blipFill>
                  <pic:spPr>
                    <a:xfrm>
                      <a:off x="0" y="0"/>
                      <a:ext cx="5029200" cy="1167536"/>
                    </a:xfrm>
                    <a:prstGeom prst="rect"/>
                  </pic:spPr>
                </pic:pic>
              </a:graphicData>
            </a:graphic>
          </wp:inline>
        </w:drawing>
      </w:r>
    </w:p>
    <w:p>
      <w:pPr>
        <w:spacing w:after="240"/>
        <w:jc w:val="center"/>
      </w:pPr>
      <w:r>
        <w:rPr>
          <w:rFonts w:ascii="Times New Roman" w:hAnsi="Times New Roman"/>
          <w:i/>
          <w:sz w:val="20"/>
        </w:rPr>
        <w:t>Figure 1. HPAI reporting status in Bangladesh by six-month semester, 2007-2025 (WAHIS country reports; poultry and non-poultry/wild-bird listings shown separately). No rows exist for 2021-2022 (blank, not 'no information'). Source: WAHIS.</w:t>
      </w:r>
    </w:p>
    <w:p>
      <w:pPr>
        <w:pStyle w:val="Heading2"/>
        <w:jc w:val="left"/>
      </w:pPr>
      <w:r>
        <w:rPr>
          <w:rFonts w:ascii="Times New Roman" w:hAnsi="Times New Roman"/>
          <w:b/>
          <w:sz w:val="24"/>
        </w:rPr>
        <w:t>3.2 Outbreak Burden by Division</w:t>
      </w:r>
    </w:p>
    <w:p>
      <w:pPr>
        <w:spacing w:after="120" w:before="0" w:line="440" w:lineRule="exact"/>
        <w:ind w:firstLine="720"/>
        <w:jc w:val="both"/>
      </w:pPr>
      <w:r>
        <w:rPr>
          <w:rFonts w:ascii="Times New Roman" w:hAnsi="Times New Roman"/>
          <w:b w:val="0"/>
          <w:i w:val="0"/>
          <w:sz w:val="24"/>
        </w:rPr>
        <w:t>A total of 564 new HPAI outbreaks were reported across Bangladesh's administrative divisions from 2007 to 2025 (Table 1, Figures 2 and 3). Dhaka division accounted for the largest share (266 outbreaks, 47.2% of the national total; 267 including the single 2025 event resolved to Narayanganj Sadar), followed by Rajshahi (131, 23.2%) and Chittagong (81, 14.4%). Barisal (31), Khulna (40), Rangpur (10), and Sylhet (4) each recorded substantially lower burdens. Across all divisions, WAHIS records show 465,003 susceptible-animal cases, 2,391,300 birds killed and disposed of under control measures, and 447,872 recorded deaths.</w:t>
      </w:r>
    </w:p>
    <w:p>
      <w:pPr>
        <w:spacing w:before="120"/>
      </w:pPr>
      <w:r>
        <w:rPr>
          <w:rFonts w:ascii="Times New Roman" w:hAnsi="Times New Roman"/>
          <w:b/>
          <w:sz w:val="20"/>
        </w:rPr>
        <w:t>Table 1. HPAI outbreak burden by administrative division, Bangladesh, 2007-2025. Source: WAHIS event-level quantitative-data export. 'Cases' and 'Killed/Disposed' totals combine poultry and wild-species records (see Section 3.4).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20"/>
              </w:rPr>
              <w:t>Division</w:t>
            </w:r>
          </w:p>
        </w:tc>
        <w:tc>
          <w:tcPr>
            <w:tcW w:type="dxa" w:w="1337"/>
          </w:tcPr>
          <w:p>
            <w:pPr>
              <w:jc w:val="center"/>
            </w:pPr>
            <w:r>
              <w:rPr>
                <w:rFonts w:ascii="Times New Roman" w:hAnsi="Times New Roman"/>
                <w:b/>
                <w:sz w:val="20"/>
              </w:rPr>
              <w:t>Outbreaks</w:t>
            </w:r>
          </w:p>
        </w:tc>
        <w:tc>
          <w:tcPr>
            <w:tcW w:type="dxa" w:w="1337"/>
          </w:tcPr>
          <w:p>
            <w:pPr>
              <w:jc w:val="center"/>
            </w:pPr>
            <w:r>
              <w:rPr>
                <w:rFonts w:ascii="Times New Roman" w:hAnsi="Times New Roman"/>
                <w:b/>
                <w:sz w:val="20"/>
              </w:rPr>
              <w:t>Susceptible</w:t>
            </w:r>
          </w:p>
        </w:tc>
        <w:tc>
          <w:tcPr>
            <w:tcW w:type="dxa" w:w="1337"/>
          </w:tcPr>
          <w:p>
            <w:pPr>
              <w:jc w:val="center"/>
            </w:pPr>
            <w:r>
              <w:rPr>
                <w:rFonts w:ascii="Times New Roman" w:hAnsi="Times New Roman"/>
                <w:b/>
                <w:sz w:val="20"/>
              </w:rPr>
              <w:t>Cases</w:t>
            </w:r>
          </w:p>
        </w:tc>
        <w:tc>
          <w:tcPr>
            <w:tcW w:type="dxa" w:w="1337"/>
          </w:tcPr>
          <w:p>
            <w:pPr>
              <w:jc w:val="center"/>
            </w:pPr>
            <w:r>
              <w:rPr>
                <w:rFonts w:ascii="Times New Roman" w:hAnsi="Times New Roman"/>
                <w:b/>
                <w:sz w:val="20"/>
              </w:rPr>
              <w:t>Killed/Disposed</w:t>
            </w:r>
          </w:p>
        </w:tc>
        <w:tc>
          <w:tcPr>
            <w:tcW w:type="dxa" w:w="1337"/>
          </w:tcPr>
          <w:p>
            <w:pPr>
              <w:jc w:val="center"/>
            </w:pPr>
            <w:r>
              <w:rPr>
                <w:rFonts w:ascii="Times New Roman" w:hAnsi="Times New Roman"/>
                <w:b/>
                <w:sz w:val="20"/>
              </w:rPr>
              <w:t>Deaths</w:t>
            </w:r>
          </w:p>
        </w:tc>
        <w:tc>
          <w:tcPr>
            <w:tcW w:type="dxa" w:w="1337"/>
          </w:tcPr>
          <w:p>
            <w:pPr>
              <w:jc w:val="center"/>
            </w:pPr>
            <w:r>
              <w:rPr>
                <w:rFonts w:ascii="Times New Roman" w:hAnsi="Times New Roman"/>
                <w:b/>
                <w:sz w:val="20"/>
              </w:rPr>
              <w:t>Years Active</w:t>
            </w:r>
          </w:p>
        </w:tc>
      </w:tr>
      <w:tr>
        <w:tc>
          <w:tcPr>
            <w:tcW w:type="dxa" w:w="1337"/>
          </w:tcPr>
          <w:p>
            <w:r>
              <w:rPr>
                <w:rFonts w:ascii="Times New Roman" w:hAnsi="Times New Roman"/>
                <w:sz w:val="20"/>
              </w:rPr>
              <w:t>Dhaka</w:t>
            </w:r>
          </w:p>
        </w:tc>
        <w:tc>
          <w:tcPr>
            <w:tcW w:type="dxa" w:w="1337"/>
          </w:tcPr>
          <w:p>
            <w:r>
              <w:rPr>
                <w:rFonts w:ascii="Times New Roman" w:hAnsi="Times New Roman"/>
                <w:sz w:val="20"/>
              </w:rPr>
              <w:t>266</w:t>
            </w:r>
          </w:p>
        </w:tc>
        <w:tc>
          <w:tcPr>
            <w:tcW w:type="dxa" w:w="1337"/>
          </w:tcPr>
          <w:p>
            <w:r>
              <w:rPr>
                <w:rFonts w:ascii="Times New Roman" w:hAnsi="Times New Roman"/>
                <w:sz w:val="20"/>
              </w:rPr>
              <w:t>1,883,057</w:t>
            </w:r>
          </w:p>
        </w:tc>
        <w:tc>
          <w:tcPr>
            <w:tcW w:type="dxa" w:w="1337"/>
          </w:tcPr>
          <w:p>
            <w:r>
              <w:rPr>
                <w:rFonts w:ascii="Times New Roman" w:hAnsi="Times New Roman"/>
                <w:sz w:val="20"/>
              </w:rPr>
              <w:t>288,286</w:t>
            </w:r>
          </w:p>
        </w:tc>
        <w:tc>
          <w:tcPr>
            <w:tcW w:type="dxa" w:w="1337"/>
          </w:tcPr>
          <w:p>
            <w:r>
              <w:rPr>
                <w:rFonts w:ascii="Times New Roman" w:hAnsi="Times New Roman"/>
                <w:sz w:val="20"/>
              </w:rPr>
              <w:t>1,603,935</w:t>
            </w:r>
          </w:p>
        </w:tc>
        <w:tc>
          <w:tcPr>
            <w:tcW w:type="dxa" w:w="1337"/>
          </w:tcPr>
          <w:p>
            <w:r>
              <w:rPr>
                <w:rFonts w:ascii="Times New Roman" w:hAnsi="Times New Roman"/>
                <w:sz w:val="20"/>
              </w:rPr>
              <w:t>273,406</w:t>
            </w:r>
          </w:p>
        </w:tc>
        <w:tc>
          <w:tcPr>
            <w:tcW w:type="dxa" w:w="1337"/>
          </w:tcPr>
          <w:p>
            <w:r>
              <w:rPr>
                <w:rFonts w:ascii="Times New Roman" w:hAnsi="Times New Roman"/>
                <w:sz w:val="20"/>
              </w:rPr>
              <w:t>2007-2018</w:t>
            </w:r>
          </w:p>
        </w:tc>
      </w:tr>
      <w:tr>
        <w:tc>
          <w:tcPr>
            <w:tcW w:type="dxa" w:w="1337"/>
          </w:tcPr>
          <w:p>
            <w:r>
              <w:rPr>
                <w:rFonts w:ascii="Times New Roman" w:hAnsi="Times New Roman"/>
                <w:sz w:val="20"/>
              </w:rPr>
              <w:t>Rajshahi</w:t>
            </w:r>
          </w:p>
        </w:tc>
        <w:tc>
          <w:tcPr>
            <w:tcW w:type="dxa" w:w="1337"/>
          </w:tcPr>
          <w:p>
            <w:r>
              <w:rPr>
                <w:rFonts w:ascii="Times New Roman" w:hAnsi="Times New Roman"/>
                <w:sz w:val="20"/>
              </w:rPr>
              <w:t>131</w:t>
            </w:r>
          </w:p>
        </w:tc>
        <w:tc>
          <w:tcPr>
            <w:tcW w:type="dxa" w:w="1337"/>
          </w:tcPr>
          <w:p>
            <w:r>
              <w:rPr>
                <w:rFonts w:ascii="Times New Roman" w:hAnsi="Times New Roman"/>
                <w:sz w:val="20"/>
              </w:rPr>
              <w:t>430,180</w:t>
            </w:r>
          </w:p>
        </w:tc>
        <w:tc>
          <w:tcPr>
            <w:tcW w:type="dxa" w:w="1337"/>
          </w:tcPr>
          <w:p>
            <w:r>
              <w:rPr>
                <w:rFonts w:ascii="Times New Roman" w:hAnsi="Times New Roman"/>
                <w:sz w:val="20"/>
              </w:rPr>
              <w:t>52,700</w:t>
            </w:r>
          </w:p>
        </w:tc>
        <w:tc>
          <w:tcPr>
            <w:tcW w:type="dxa" w:w="1337"/>
          </w:tcPr>
          <w:p>
            <w:r>
              <w:rPr>
                <w:rFonts w:ascii="Times New Roman" w:hAnsi="Times New Roman"/>
                <w:sz w:val="20"/>
              </w:rPr>
              <w:t>360,129</w:t>
            </w:r>
          </w:p>
        </w:tc>
        <w:tc>
          <w:tcPr>
            <w:tcW w:type="dxa" w:w="1337"/>
          </w:tcPr>
          <w:p>
            <w:r>
              <w:rPr>
                <w:rFonts w:ascii="Times New Roman" w:hAnsi="Times New Roman"/>
                <w:sz w:val="20"/>
              </w:rPr>
              <w:t>52,235</w:t>
            </w:r>
          </w:p>
        </w:tc>
        <w:tc>
          <w:tcPr>
            <w:tcW w:type="dxa" w:w="1337"/>
          </w:tcPr>
          <w:p>
            <w:r>
              <w:rPr>
                <w:rFonts w:ascii="Times New Roman" w:hAnsi="Times New Roman"/>
                <w:sz w:val="20"/>
              </w:rPr>
              <w:t>2007-2017</w:t>
            </w:r>
          </w:p>
        </w:tc>
      </w:tr>
      <w:tr>
        <w:tc>
          <w:tcPr>
            <w:tcW w:type="dxa" w:w="1337"/>
          </w:tcPr>
          <w:p>
            <w:r>
              <w:rPr>
                <w:rFonts w:ascii="Times New Roman" w:hAnsi="Times New Roman"/>
                <w:sz w:val="20"/>
              </w:rPr>
              <w:t>Chittagong</w:t>
            </w:r>
          </w:p>
        </w:tc>
        <w:tc>
          <w:tcPr>
            <w:tcW w:type="dxa" w:w="1337"/>
          </w:tcPr>
          <w:p>
            <w:r>
              <w:rPr>
                <w:rFonts w:ascii="Times New Roman" w:hAnsi="Times New Roman"/>
                <w:sz w:val="20"/>
              </w:rPr>
              <w:t>81</w:t>
            </w:r>
          </w:p>
        </w:tc>
        <w:tc>
          <w:tcPr>
            <w:tcW w:type="dxa" w:w="1337"/>
          </w:tcPr>
          <w:p>
            <w:r>
              <w:rPr>
                <w:rFonts w:ascii="Times New Roman" w:hAnsi="Times New Roman"/>
                <w:sz w:val="20"/>
              </w:rPr>
              <w:t>294,010</w:t>
            </w:r>
          </w:p>
        </w:tc>
        <w:tc>
          <w:tcPr>
            <w:tcW w:type="dxa" w:w="1337"/>
          </w:tcPr>
          <w:p>
            <w:r>
              <w:rPr>
                <w:rFonts w:ascii="Times New Roman" w:hAnsi="Times New Roman"/>
                <w:sz w:val="20"/>
              </w:rPr>
              <w:t>74,893</w:t>
            </w:r>
          </w:p>
        </w:tc>
        <w:tc>
          <w:tcPr>
            <w:tcW w:type="dxa" w:w="1337"/>
          </w:tcPr>
          <w:p>
            <w:r>
              <w:rPr>
                <w:rFonts w:ascii="Times New Roman" w:hAnsi="Times New Roman"/>
                <w:sz w:val="20"/>
              </w:rPr>
              <w:t>220,708</w:t>
            </w:r>
          </w:p>
        </w:tc>
        <w:tc>
          <w:tcPr>
            <w:tcW w:type="dxa" w:w="1337"/>
          </w:tcPr>
          <w:p>
            <w:r>
              <w:rPr>
                <w:rFonts w:ascii="Times New Roman" w:hAnsi="Times New Roman"/>
                <w:sz w:val="20"/>
              </w:rPr>
              <w:t>73,302</w:t>
            </w:r>
          </w:p>
        </w:tc>
        <w:tc>
          <w:tcPr>
            <w:tcW w:type="dxa" w:w="1337"/>
          </w:tcPr>
          <w:p>
            <w:r>
              <w:rPr>
                <w:rFonts w:ascii="Times New Roman" w:hAnsi="Times New Roman"/>
                <w:sz w:val="20"/>
              </w:rPr>
              <w:t>2007-2012</w:t>
            </w:r>
          </w:p>
        </w:tc>
      </w:tr>
      <w:tr>
        <w:tc>
          <w:tcPr>
            <w:tcW w:type="dxa" w:w="1337"/>
          </w:tcPr>
          <w:p>
            <w:r>
              <w:rPr>
                <w:rFonts w:ascii="Times New Roman" w:hAnsi="Times New Roman"/>
                <w:sz w:val="20"/>
              </w:rPr>
              <w:t>Khulna</w:t>
            </w:r>
          </w:p>
        </w:tc>
        <w:tc>
          <w:tcPr>
            <w:tcW w:type="dxa" w:w="1337"/>
          </w:tcPr>
          <w:p>
            <w:r>
              <w:rPr>
                <w:rFonts w:ascii="Times New Roman" w:hAnsi="Times New Roman"/>
                <w:sz w:val="20"/>
              </w:rPr>
              <w:t>40</w:t>
            </w:r>
          </w:p>
        </w:tc>
        <w:tc>
          <w:tcPr>
            <w:tcW w:type="dxa" w:w="1337"/>
          </w:tcPr>
          <w:p>
            <w:r>
              <w:rPr>
                <w:rFonts w:ascii="Times New Roman" w:hAnsi="Times New Roman"/>
                <w:sz w:val="20"/>
              </w:rPr>
              <w:t>125,456</w:t>
            </w:r>
          </w:p>
        </w:tc>
        <w:tc>
          <w:tcPr>
            <w:tcW w:type="dxa" w:w="1337"/>
          </w:tcPr>
          <w:p>
            <w:r>
              <w:rPr>
                <w:rFonts w:ascii="Times New Roman" w:hAnsi="Times New Roman"/>
                <w:sz w:val="20"/>
              </w:rPr>
              <w:t>27,976</w:t>
            </w:r>
          </w:p>
        </w:tc>
        <w:tc>
          <w:tcPr>
            <w:tcW w:type="dxa" w:w="1337"/>
          </w:tcPr>
          <w:p>
            <w:r>
              <w:rPr>
                <w:rFonts w:ascii="Times New Roman" w:hAnsi="Times New Roman"/>
                <w:sz w:val="20"/>
              </w:rPr>
              <w:t>98,122</w:t>
            </w:r>
          </w:p>
        </w:tc>
        <w:tc>
          <w:tcPr>
            <w:tcW w:type="dxa" w:w="1337"/>
          </w:tcPr>
          <w:p>
            <w:r>
              <w:rPr>
                <w:rFonts w:ascii="Times New Roman" w:hAnsi="Times New Roman"/>
                <w:sz w:val="20"/>
              </w:rPr>
              <w:t>27,781</w:t>
            </w:r>
          </w:p>
        </w:tc>
        <w:tc>
          <w:tcPr>
            <w:tcW w:type="dxa" w:w="1337"/>
          </w:tcPr>
          <w:p>
            <w:r>
              <w:rPr>
                <w:rFonts w:ascii="Times New Roman" w:hAnsi="Times New Roman"/>
                <w:sz w:val="20"/>
              </w:rPr>
              <w:t>2007-2025</w:t>
            </w:r>
          </w:p>
        </w:tc>
      </w:tr>
      <w:tr>
        <w:tc>
          <w:tcPr>
            <w:tcW w:type="dxa" w:w="1337"/>
          </w:tcPr>
          <w:p>
            <w:r>
              <w:rPr>
                <w:rFonts w:ascii="Times New Roman" w:hAnsi="Times New Roman"/>
                <w:sz w:val="20"/>
              </w:rPr>
              <w:t>Barisal</w:t>
            </w:r>
          </w:p>
        </w:tc>
        <w:tc>
          <w:tcPr>
            <w:tcW w:type="dxa" w:w="1337"/>
          </w:tcPr>
          <w:p>
            <w:r>
              <w:rPr>
                <w:rFonts w:ascii="Times New Roman" w:hAnsi="Times New Roman"/>
                <w:sz w:val="20"/>
              </w:rPr>
              <w:t>31</w:t>
            </w:r>
          </w:p>
        </w:tc>
        <w:tc>
          <w:tcPr>
            <w:tcW w:type="dxa" w:w="1337"/>
          </w:tcPr>
          <w:p>
            <w:r>
              <w:rPr>
                <w:rFonts w:ascii="Times New Roman" w:hAnsi="Times New Roman"/>
                <w:sz w:val="20"/>
              </w:rPr>
              <w:t>82,446</w:t>
            </w:r>
          </w:p>
        </w:tc>
        <w:tc>
          <w:tcPr>
            <w:tcW w:type="dxa" w:w="1337"/>
          </w:tcPr>
          <w:p>
            <w:r>
              <w:rPr>
                <w:rFonts w:ascii="Times New Roman" w:hAnsi="Times New Roman"/>
                <w:sz w:val="20"/>
              </w:rPr>
              <w:t>11,817</w:t>
            </w:r>
          </w:p>
        </w:tc>
        <w:tc>
          <w:tcPr>
            <w:tcW w:type="dxa" w:w="1337"/>
          </w:tcPr>
          <w:p>
            <w:r>
              <w:rPr>
                <w:rFonts w:ascii="Times New Roman" w:hAnsi="Times New Roman"/>
                <w:sz w:val="20"/>
              </w:rPr>
              <w:t>70,629</w:t>
            </w:r>
          </w:p>
        </w:tc>
        <w:tc>
          <w:tcPr>
            <w:tcW w:type="dxa" w:w="1337"/>
          </w:tcPr>
          <w:p>
            <w:r>
              <w:rPr>
                <w:rFonts w:ascii="Times New Roman" w:hAnsi="Times New Roman"/>
                <w:sz w:val="20"/>
              </w:rPr>
              <w:t>11,817</w:t>
            </w:r>
          </w:p>
        </w:tc>
        <w:tc>
          <w:tcPr>
            <w:tcW w:type="dxa" w:w="1337"/>
          </w:tcPr>
          <w:p>
            <w:r>
              <w:rPr>
                <w:rFonts w:ascii="Times New Roman" w:hAnsi="Times New Roman"/>
                <w:sz w:val="20"/>
              </w:rPr>
              <w:t>2008-2011</w:t>
            </w:r>
          </w:p>
        </w:tc>
      </w:tr>
      <w:tr>
        <w:tc>
          <w:tcPr>
            <w:tcW w:type="dxa" w:w="1337"/>
          </w:tcPr>
          <w:p>
            <w:r>
              <w:rPr>
                <w:rFonts w:ascii="Times New Roman" w:hAnsi="Times New Roman"/>
                <w:sz w:val="20"/>
              </w:rPr>
              <w:t>Rangpur</w:t>
            </w:r>
          </w:p>
        </w:tc>
        <w:tc>
          <w:tcPr>
            <w:tcW w:type="dxa" w:w="1337"/>
          </w:tcPr>
          <w:p>
            <w:r>
              <w:rPr>
                <w:rFonts w:ascii="Times New Roman" w:hAnsi="Times New Roman"/>
                <w:sz w:val="20"/>
              </w:rPr>
              <w:t>10</w:t>
            </w:r>
          </w:p>
        </w:tc>
        <w:tc>
          <w:tcPr>
            <w:tcW w:type="dxa" w:w="1337"/>
          </w:tcPr>
          <w:p>
            <w:r>
              <w:rPr>
                <w:rFonts w:ascii="Times New Roman" w:hAnsi="Times New Roman"/>
                <w:sz w:val="20"/>
              </w:rPr>
              <w:t>38,848</w:t>
            </w:r>
          </w:p>
        </w:tc>
        <w:tc>
          <w:tcPr>
            <w:tcW w:type="dxa" w:w="1337"/>
          </w:tcPr>
          <w:p>
            <w:r>
              <w:rPr>
                <w:rFonts w:ascii="Times New Roman" w:hAnsi="Times New Roman"/>
                <w:sz w:val="20"/>
              </w:rPr>
              <w:t>7,021</w:t>
            </w:r>
          </w:p>
        </w:tc>
        <w:tc>
          <w:tcPr>
            <w:tcW w:type="dxa" w:w="1337"/>
          </w:tcPr>
          <w:p>
            <w:r>
              <w:rPr>
                <w:rFonts w:ascii="Times New Roman" w:hAnsi="Times New Roman"/>
                <w:sz w:val="20"/>
              </w:rPr>
              <w:t>31,827</w:t>
            </w:r>
          </w:p>
        </w:tc>
        <w:tc>
          <w:tcPr>
            <w:tcW w:type="dxa" w:w="1337"/>
          </w:tcPr>
          <w:p>
            <w:r>
              <w:rPr>
                <w:rFonts w:ascii="Times New Roman" w:hAnsi="Times New Roman"/>
                <w:sz w:val="20"/>
              </w:rPr>
              <w:t>7,021</w:t>
            </w:r>
          </w:p>
        </w:tc>
        <w:tc>
          <w:tcPr>
            <w:tcW w:type="dxa" w:w="1337"/>
          </w:tcPr>
          <w:p>
            <w:r>
              <w:rPr>
                <w:rFonts w:ascii="Times New Roman" w:hAnsi="Times New Roman"/>
                <w:sz w:val="20"/>
              </w:rPr>
              <w:t>2011-2013</w:t>
            </w:r>
          </w:p>
        </w:tc>
      </w:tr>
      <w:tr>
        <w:tc>
          <w:tcPr>
            <w:tcW w:type="dxa" w:w="1337"/>
          </w:tcPr>
          <w:p>
            <w:r>
              <w:rPr>
                <w:rFonts w:ascii="Times New Roman" w:hAnsi="Times New Roman"/>
                <w:sz w:val="20"/>
              </w:rPr>
              <w:t>Sylhet</w:t>
            </w:r>
          </w:p>
        </w:tc>
        <w:tc>
          <w:tcPr>
            <w:tcW w:type="dxa" w:w="1337"/>
          </w:tcPr>
          <w:p>
            <w:r>
              <w:rPr>
                <w:rFonts w:ascii="Times New Roman" w:hAnsi="Times New Roman"/>
                <w:sz w:val="20"/>
              </w:rPr>
              <w:t>4</w:t>
            </w:r>
          </w:p>
        </w:tc>
        <w:tc>
          <w:tcPr>
            <w:tcW w:type="dxa" w:w="1337"/>
          </w:tcPr>
          <w:p>
            <w:r>
              <w:rPr>
                <w:rFonts w:ascii="Times New Roman" w:hAnsi="Times New Roman"/>
                <w:sz w:val="20"/>
              </w:rPr>
              <w:t>8,258</w:t>
            </w:r>
          </w:p>
        </w:tc>
        <w:tc>
          <w:tcPr>
            <w:tcW w:type="dxa" w:w="1337"/>
          </w:tcPr>
          <w:p>
            <w:r>
              <w:rPr>
                <w:rFonts w:ascii="Times New Roman" w:hAnsi="Times New Roman"/>
                <w:sz w:val="20"/>
              </w:rPr>
              <w:t>2,308</w:t>
            </w:r>
          </w:p>
        </w:tc>
        <w:tc>
          <w:tcPr>
            <w:tcW w:type="dxa" w:w="1337"/>
          </w:tcPr>
          <w:p>
            <w:r>
              <w:rPr>
                <w:rFonts w:ascii="Times New Roman" w:hAnsi="Times New Roman"/>
                <w:sz w:val="20"/>
              </w:rPr>
              <w:t>5,950</w:t>
            </w:r>
          </w:p>
        </w:tc>
        <w:tc>
          <w:tcPr>
            <w:tcW w:type="dxa" w:w="1337"/>
          </w:tcPr>
          <w:p>
            <w:r>
              <w:rPr>
                <w:rFonts w:ascii="Times New Roman" w:hAnsi="Times New Roman"/>
                <w:sz w:val="20"/>
              </w:rPr>
              <w:t>2,308</w:t>
            </w:r>
          </w:p>
        </w:tc>
        <w:tc>
          <w:tcPr>
            <w:tcW w:type="dxa" w:w="1337"/>
          </w:tcPr>
          <w:p>
            <w:r>
              <w:rPr>
                <w:rFonts w:ascii="Times New Roman" w:hAnsi="Times New Roman"/>
                <w:sz w:val="20"/>
              </w:rPr>
              <w:t>2008-2011</w:t>
            </w:r>
          </w:p>
        </w:tc>
      </w:tr>
      <w:tr>
        <w:tc>
          <w:tcPr>
            <w:tcW w:type="dxa" w:w="1337"/>
          </w:tcPr>
          <w:p>
            <w:r>
              <w:rPr>
                <w:rFonts w:ascii="Times New Roman" w:hAnsi="Times New Roman"/>
                <w:sz w:val="20"/>
              </w:rPr>
              <w:t>Narayanganj Sadar</w:t>
            </w:r>
          </w:p>
        </w:tc>
        <w:tc>
          <w:tcPr>
            <w:tcW w:type="dxa" w:w="1337"/>
          </w:tcPr>
          <w:p>
            <w:r>
              <w:rPr>
                <w:rFonts w:ascii="Times New Roman" w:hAnsi="Times New Roman"/>
                <w:sz w:val="20"/>
              </w:rPr>
              <w:t>1</w:t>
            </w:r>
          </w:p>
        </w:tc>
        <w:tc>
          <w:tcPr>
            <w:tcW w:type="dxa" w:w="1337"/>
          </w:tcPr>
          <w:p>
            <w:r>
              <w:rPr>
                <w:rFonts w:ascii="Times New Roman" w:hAnsi="Times New Roman"/>
                <w:sz w:val="20"/>
              </w:rPr>
              <w:t>2</w:t>
            </w:r>
          </w:p>
        </w:tc>
        <w:tc>
          <w:tcPr>
            <w:tcW w:type="dxa" w:w="1337"/>
          </w:tcPr>
          <w:p>
            <w:r>
              <w:rPr>
                <w:rFonts w:ascii="Times New Roman" w:hAnsi="Times New Roman"/>
                <w:sz w:val="20"/>
              </w:rPr>
              <w:t>2</w:t>
            </w:r>
          </w:p>
        </w:tc>
        <w:tc>
          <w:tcPr>
            <w:tcW w:type="dxa" w:w="1337"/>
          </w:tcPr>
          <w:p>
            <w:r>
              <w:rPr>
                <w:rFonts w:ascii="Times New Roman" w:hAnsi="Times New Roman"/>
                <w:sz w:val="20"/>
              </w:rPr>
              <w:t>-</w:t>
            </w:r>
          </w:p>
        </w:tc>
        <w:tc>
          <w:tcPr>
            <w:tcW w:type="dxa" w:w="1337"/>
          </w:tcPr>
          <w:p>
            <w:r>
              <w:rPr>
                <w:rFonts w:ascii="Times New Roman" w:hAnsi="Times New Roman"/>
                <w:sz w:val="20"/>
              </w:rPr>
              <w:t>2</w:t>
            </w:r>
          </w:p>
        </w:tc>
        <w:tc>
          <w:tcPr>
            <w:tcW w:type="dxa" w:w="1337"/>
          </w:tcPr>
          <w:p>
            <w:r>
              <w:rPr>
                <w:rFonts w:ascii="Times New Roman" w:hAnsi="Times New Roman"/>
                <w:sz w:val="20"/>
              </w:rPr>
              <w:t>2025</w:t>
            </w:r>
          </w:p>
        </w:tc>
      </w:tr>
    </w:tbl>
    <w:p/>
    <w:p>
      <w:pPr>
        <w:jc w:val="center"/>
      </w:pPr>
      <w:r>
        <w:drawing>
          <wp:inline xmlns:a="http://schemas.openxmlformats.org/drawingml/2006/main" xmlns:pic="http://schemas.openxmlformats.org/drawingml/2006/picture">
            <wp:extent cx="5029200" cy="2766154"/>
            <wp:docPr id="2" name="Picture 2"/>
            <wp:cNvGraphicFramePr>
              <a:graphicFrameLocks noChangeAspect="1"/>
            </wp:cNvGraphicFramePr>
            <a:graphic>
              <a:graphicData uri="http://schemas.openxmlformats.org/drawingml/2006/picture">
                <pic:pic>
                  <pic:nvPicPr>
                    <pic:cNvPr id="0" name="fig2_division_outbreak_burden.png"/>
                    <pic:cNvPicPr/>
                  </pic:nvPicPr>
                  <pic:blipFill>
                    <a:blip r:embed="rId10"/>
                    <a:stretch>
                      <a:fillRect/>
                    </a:stretch>
                  </pic:blipFill>
                  <pic:spPr>
                    <a:xfrm>
                      <a:off x="0" y="0"/>
                      <a:ext cx="5029200" cy="2766154"/>
                    </a:xfrm>
                    <a:prstGeom prst="rect"/>
                  </pic:spPr>
                </pic:pic>
              </a:graphicData>
            </a:graphic>
          </wp:inline>
        </w:drawing>
      </w:r>
    </w:p>
    <w:p>
      <w:pPr>
        <w:spacing w:after="240"/>
        <w:jc w:val="center"/>
      </w:pPr>
      <w:r>
        <w:rPr>
          <w:rFonts w:ascii="Times New Roman" w:hAnsi="Times New Roman"/>
          <w:i/>
          <w:sz w:val="20"/>
        </w:rPr>
        <w:t>Figure 2. Total reported HPAI outbreaks by administrative division, Bangladesh, 2007-2025. Source: WAHIS event-level quantitative data.</w:t>
      </w:r>
    </w:p>
    <w:p>
      <w:pPr>
        <w:jc w:val="center"/>
      </w:pPr>
      <w:r>
        <w:drawing>
          <wp:inline xmlns:a="http://schemas.openxmlformats.org/drawingml/2006/main" xmlns:pic="http://schemas.openxmlformats.org/drawingml/2006/picture">
            <wp:extent cx="4114800" cy="5021260"/>
            <wp:docPr id="3" name="Picture 3"/>
            <wp:cNvGraphicFramePr>
              <a:graphicFrameLocks noChangeAspect="1"/>
            </wp:cNvGraphicFramePr>
            <a:graphic>
              <a:graphicData uri="http://schemas.openxmlformats.org/drawingml/2006/picture">
                <pic:pic>
                  <pic:nvPicPr>
                    <pic:cNvPr id="0" name="fig6_division_choropleth_map.png"/>
                    <pic:cNvPicPr/>
                  </pic:nvPicPr>
                  <pic:blipFill>
                    <a:blip r:embed="rId11"/>
                    <a:stretch>
                      <a:fillRect/>
                    </a:stretch>
                  </pic:blipFill>
                  <pic:spPr>
                    <a:xfrm>
                      <a:off x="0" y="0"/>
                      <a:ext cx="4114800" cy="5021260"/>
                    </a:xfrm>
                    <a:prstGeom prst="rect"/>
                  </pic:spPr>
                </pic:pic>
              </a:graphicData>
            </a:graphic>
          </wp:inline>
        </w:drawing>
      </w:r>
    </w:p>
    <w:p>
      <w:pPr>
        <w:spacing w:after="240"/>
        <w:jc w:val="center"/>
      </w:pPr>
      <w:r>
        <w:rPr>
          <w:rFonts w:ascii="Times New Roman" w:hAnsi="Times New Roman"/>
          <w:i/>
          <w:sz w:val="20"/>
        </w:rPr>
        <w:t>Figure 3. Choropleth map of total reported HPAI outbreaks by administrative division, Bangladesh, 2007-2025. Boundary: geoBoundaries ADM1, dissolved to WAHIS's 7-division scheme (Mymensingh merged into Dhaka). Source: WAHIS; geoBoundaries.</w:t>
      </w:r>
    </w:p>
    <w:p>
      <w:pPr>
        <w:pStyle w:val="Heading2"/>
        <w:jc w:val="left"/>
      </w:pPr>
      <w:r>
        <w:rPr>
          <w:rFonts w:ascii="Times New Roman" w:hAnsi="Times New Roman"/>
          <w:b/>
          <w:sz w:val="24"/>
        </w:rPr>
        <w:t>3.3 Poultry Density Does Not Track Outbreak Burden</w:t>
      </w:r>
    </w:p>
    <w:p>
      <w:pPr>
        <w:spacing w:after="120" w:before="0" w:line="440" w:lineRule="exact"/>
        <w:ind w:firstLine="720"/>
        <w:jc w:val="both"/>
      </w:pPr>
      <w:r>
        <w:rPr>
          <w:rFonts w:ascii="Times New Roman" w:hAnsi="Times New Roman"/>
          <w:b w:val="0"/>
          <w:i w:val="0"/>
          <w:sz w:val="24"/>
        </w:rPr>
        <w:t>Zonal-averaged FAO GLW4 (2020) chicken density ranged from 1,217 head/km2 in Sylhet to 3,394 head/km2 in Barisal -- notably, Barisal has the highest modelled poultry density of any division yet the fifth-highest outbreak count (31), while Dhaka, with a mid-range density of 2,230 head/km2, carries by far the highest outbreak burden. The raw between-division correlation between outbreak counts and chicken density was negligible (Pearson r = 0.02; Table 2), consistent with reported outbreaks being driven by factors other than static regional poultry density alone -- plausibly including live-bird-market and trade-network structure, which this analysis did not have data to test directly.</w:t>
      </w:r>
    </w:p>
    <w:p>
      <w:pPr>
        <w:pStyle w:val="Heading2"/>
        <w:jc w:val="left"/>
      </w:pPr>
      <w:r>
        <w:rPr>
          <w:rFonts w:ascii="Times New Roman" w:hAnsi="Times New Roman"/>
          <w:b/>
          <w:sz w:val="24"/>
        </w:rPr>
        <w:t>3.4 Species Involved and the 2025 Wildlife Detection</w:t>
      </w:r>
    </w:p>
    <w:p>
      <w:pPr>
        <w:spacing w:after="120" w:before="0" w:line="440" w:lineRule="exact"/>
        <w:ind w:firstLine="720"/>
        <w:jc w:val="both"/>
      </w:pPr>
      <w:r>
        <w:rPr>
          <w:rFonts w:ascii="Times New Roman" w:hAnsi="Times New Roman"/>
          <w:b w:val="0"/>
          <w:i w:val="0"/>
          <w:sz w:val="24"/>
        </w:rPr>
        <w:t>The great majority of reported cases involved domestic poultry (species 'Birds'). Wild-species detections were first recorded in the WAHIS quantitative-data export in 2016: House Crow (Corvus splendens) in Rajshahi, Dhaka, and Khulna divisions across five reporting semesters between 2016 and 2019 (40 to 166 cases per semester), and unidentified Phasianidae in Dhaka in early 2018 (600 cases) (Figure 4). The most recent WAHIS event for Bangladesh (event ID 6453, confirmed 2025/04/21) reports H5N1 in a captive Serval (Leptailurus serval) at Siddirgonj Thana, Narayanganj Sadar, Dhaka division (23.64696N, 90.512087E; approximate location), with the reason for notification recorded as 'unusual host species.' Both susceptible animals were confirmed as cases and both died. The animal category was recorded as 'WILD Captive', indicating a captive-wildlife setting rather than a free-ranging detection.</w:t>
      </w:r>
    </w:p>
    <w:p>
      <w:pPr>
        <w:jc w:val="center"/>
      </w:pPr>
      <w:r>
        <w:drawing>
          <wp:inline xmlns:a="http://schemas.openxmlformats.org/drawingml/2006/main" xmlns:pic="http://schemas.openxmlformats.org/drawingml/2006/picture">
            <wp:extent cx="5029200" cy="3099112"/>
            <wp:docPr id="4" name="Picture 4"/>
            <wp:cNvGraphicFramePr>
              <a:graphicFrameLocks noChangeAspect="1"/>
            </wp:cNvGraphicFramePr>
            <a:graphic>
              <a:graphicData uri="http://schemas.openxmlformats.org/drawingml/2006/picture">
                <pic:pic>
                  <pic:nvPicPr>
                    <pic:cNvPr id="0" name="fig3_species_spillover_timeline.png"/>
                    <pic:cNvPicPr/>
                  </pic:nvPicPr>
                  <pic:blipFill>
                    <a:blip r:embed="rId12"/>
                    <a:stretch>
                      <a:fillRect/>
                    </a:stretch>
                  </pic:blipFill>
                  <pic:spPr>
                    <a:xfrm>
                      <a:off x="0" y="0"/>
                      <a:ext cx="5029200" cy="3099112"/>
                    </a:xfrm>
                    <a:prstGeom prst="rect"/>
                  </pic:spPr>
                </pic:pic>
              </a:graphicData>
            </a:graphic>
          </wp:inline>
        </w:drawing>
      </w:r>
    </w:p>
    <w:p>
      <w:pPr>
        <w:spacing w:after="240"/>
        <w:jc w:val="center"/>
      </w:pPr>
      <w:r>
        <w:rPr>
          <w:rFonts w:ascii="Times New Roman" w:hAnsi="Times New Roman"/>
          <w:i/>
          <w:sz w:val="20"/>
        </w:rPr>
        <w:t>Figure 4. HPAI cases in Bangladesh by species and semester, 2007-2025. Top panel: domestic poultry cases (national total per semester). Bottom panel: wild-species detections (House Crow, Phasianidae, and the 2025 captive Serval), marker size proportional to reported cases. Source: WAHIS.</w:t>
      </w:r>
    </w:p>
    <w:p>
      <w:pPr>
        <w:pStyle w:val="Heading2"/>
        <w:jc w:val="left"/>
      </w:pPr>
      <w:r>
        <w:rPr>
          <w:rFonts w:ascii="Times New Roman" w:hAnsi="Times New Roman"/>
          <w:b/>
          <w:sz w:val="24"/>
        </w:rPr>
        <w:t>3.5 A Finer-Resolution View of the 2007-2013 Epidemic Wave</w:t>
      </w:r>
    </w:p>
    <w:p>
      <w:pPr>
        <w:spacing w:after="120" w:before="0" w:line="440" w:lineRule="exact"/>
        <w:ind w:firstLine="720"/>
        <w:jc w:val="both"/>
      </w:pPr>
      <w:r>
        <w:rPr>
          <w:rFonts w:ascii="Times New Roman" w:hAnsi="Times New Roman"/>
          <w:b w:val="0"/>
          <w:i w:val="0"/>
          <w:sz w:val="24"/>
        </w:rPr>
        <w:t>WAHIS tracks Bangladesh's 2007-2013 HPAI poultry epidemic as a single event (ID 192) followed by 46 individual reports between 30 March 2007 and 21 December 2013, cumulatively reaching 549 outbreaks -- the great majority of the 2007-2013 national total. Reconstructing the epidemic curve at this report-level resolution, rather than the coarser six-month semester bins used elsewhere in this analysis, reveals two distinct peaks rather than one continuous wave (Figure 5): a sharp spike of 156 new outbreaks reported in April 2008, and a second, smaller peak of 67 new outbreaks in March 2011, separated by a comparatively quiet 2009-2010 period. This structure is not visible in the semester-aggregated data used for the division- and seasonal-level analyses (Sections 3.2, 3.6).</w:t>
      </w:r>
    </w:p>
    <w:p>
      <w:pPr>
        <w:jc w:val="center"/>
      </w:pPr>
      <w:r>
        <w:drawing>
          <wp:inline xmlns:a="http://schemas.openxmlformats.org/drawingml/2006/main" xmlns:pic="http://schemas.openxmlformats.org/drawingml/2006/picture">
            <wp:extent cx="5029200" cy="2960858"/>
            <wp:docPr id="5" name="Picture 5"/>
            <wp:cNvGraphicFramePr>
              <a:graphicFrameLocks noChangeAspect="1"/>
            </wp:cNvGraphicFramePr>
            <a:graphic>
              <a:graphicData uri="http://schemas.openxmlformats.org/drawingml/2006/picture">
                <pic:pic>
                  <pic:nvPicPr>
                    <pic:cNvPr id="0" name="fig4_event192_epidemic_curve.png"/>
                    <pic:cNvPicPr/>
                  </pic:nvPicPr>
                  <pic:blipFill>
                    <a:blip r:embed="rId13"/>
                    <a:stretch>
                      <a:fillRect/>
                    </a:stretch>
                  </pic:blipFill>
                  <pic:spPr>
                    <a:xfrm>
                      <a:off x="0" y="0"/>
                      <a:ext cx="5029200" cy="2960858"/>
                    </a:xfrm>
                    <a:prstGeom prst="rect"/>
                  </pic:spPr>
                </pic:pic>
              </a:graphicData>
            </a:graphic>
          </wp:inline>
        </w:drawing>
      </w:r>
    </w:p>
    <w:p>
      <w:pPr>
        <w:spacing w:after="240"/>
        <w:jc w:val="center"/>
      </w:pPr>
      <w:r>
        <w:rPr>
          <w:rFonts w:ascii="Times New Roman" w:hAnsi="Times New Roman"/>
          <w:i/>
          <w:sz w:val="20"/>
        </w:rPr>
        <w:t>Figure 5. Report-level epidemic curve of the 2007-2013 HPAI poultry wave (WAHIS event 192), reconstructed from 46 individual follow-up reports. Top: new outbreaks per report. Bottom: cumulative outbreaks. Two peaks are visible (April 2008, March 2011) that are not distinguishable in semester-aggregated data. Source: WAHIS.</w:t>
      </w:r>
    </w:p>
    <w:p>
      <w:pPr>
        <w:pStyle w:val="Heading2"/>
        <w:jc w:val="left"/>
      </w:pPr>
      <w:r>
        <w:rPr>
          <w:rFonts w:ascii="Times New Roman" w:hAnsi="Times New Roman"/>
          <w:b/>
          <w:sz w:val="24"/>
        </w:rPr>
        <w:t>3.6 Seasonality and Climate Association</w:t>
      </w:r>
    </w:p>
    <w:p>
      <w:pPr>
        <w:spacing w:after="120" w:before="0" w:line="440" w:lineRule="exact"/>
        <w:ind w:firstLine="720"/>
        <w:jc w:val="both"/>
      </w:pPr>
      <w:r>
        <w:rPr>
          <w:rFonts w:ascii="Times New Roman" w:hAnsi="Times New Roman"/>
          <w:b w:val="0"/>
          <w:i w:val="0"/>
          <w:sz w:val="24"/>
        </w:rPr>
        <w:t>Outbreak occurrence was strongly concentrated in the January-June semester: 525 of 563 division-resolved outbreaks (93.3%) fell in this dry/cool period, versus 38 (6.7%) in July-December (Table 2b). Mean relative humidity was correspondingly lower in outbreak-heavy semesters (66.1% in January-June versus 84.1% in July-December) and mean precipitation substantially lower (986 mm versus 1,626 mm); mean temperature differed only marginally between the two halves of the year (25.6 degC versus 25.3 degC) despite the regression finding a significant temperature association (Section 3.7), indicating the temperature coefficient should be interpreted as part of a correlated climate signal rather than in isolation (Section 4.5). Raw Pearson correlations with semester-level outbreak counts were r = -0.21 for humidity and r = -0.19 for precipitation (Table 2, Figure 6).</w:t>
      </w:r>
    </w:p>
    <w:p>
      <w:pPr>
        <w:spacing w:before="120"/>
      </w:pPr>
      <w:r>
        <w:rPr>
          <w:rFonts w:ascii="Times New Roman" w:hAnsi="Times New Roman"/>
          <w:b/>
          <w:sz w:val="20"/>
        </w:rPr>
        <w:t>Table 2. Pairwise Pearson correlation between division-semester HPAI outbreak counts and climate/poultry covariates, 2007-2025 (n = 266 division-semester observations).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Covariate</w:t>
            </w:r>
          </w:p>
        </w:tc>
        <w:tc>
          <w:tcPr>
            <w:tcW w:type="dxa" w:w="4680"/>
          </w:tcPr>
          <w:p>
            <w:pPr>
              <w:jc w:val="center"/>
            </w:pPr>
            <w:r>
              <w:rPr>
                <w:rFonts w:ascii="Times New Roman" w:hAnsi="Times New Roman"/>
                <w:b/>
                <w:sz w:val="20"/>
              </w:rPr>
              <w:t>Pearson r with new outbreaks</w:t>
            </w:r>
          </w:p>
        </w:tc>
      </w:tr>
      <w:tr>
        <w:tc>
          <w:tcPr>
            <w:tcW w:type="dxa" w:w="4680"/>
          </w:tcPr>
          <w:p>
            <w:r>
              <w:rPr>
                <w:rFonts w:ascii="Times New Roman" w:hAnsi="Times New Roman"/>
                <w:sz w:val="20"/>
              </w:rPr>
              <w:t>Temperature (degC)</w:t>
            </w:r>
          </w:p>
        </w:tc>
        <w:tc>
          <w:tcPr>
            <w:tcW w:type="dxa" w:w="4680"/>
          </w:tcPr>
          <w:p>
            <w:r>
              <w:rPr>
                <w:rFonts w:ascii="Times New Roman" w:hAnsi="Times New Roman"/>
                <w:sz w:val="20"/>
              </w:rPr>
              <w:t>0.070</w:t>
            </w:r>
          </w:p>
        </w:tc>
      </w:tr>
      <w:tr>
        <w:tc>
          <w:tcPr>
            <w:tcW w:type="dxa" w:w="4680"/>
          </w:tcPr>
          <w:p>
            <w:r>
              <w:rPr>
                <w:rFonts w:ascii="Times New Roman" w:hAnsi="Times New Roman"/>
                <w:sz w:val="20"/>
              </w:rPr>
              <w:t>Relative humidity (%)</w:t>
            </w:r>
          </w:p>
        </w:tc>
        <w:tc>
          <w:tcPr>
            <w:tcW w:type="dxa" w:w="4680"/>
          </w:tcPr>
          <w:p>
            <w:r>
              <w:rPr>
                <w:rFonts w:ascii="Times New Roman" w:hAnsi="Times New Roman"/>
                <w:sz w:val="20"/>
              </w:rPr>
              <w:t>-0.213</w:t>
            </w:r>
          </w:p>
        </w:tc>
      </w:tr>
      <w:tr>
        <w:tc>
          <w:tcPr>
            <w:tcW w:type="dxa" w:w="4680"/>
          </w:tcPr>
          <w:p>
            <w:r>
              <w:rPr>
                <w:rFonts w:ascii="Times New Roman" w:hAnsi="Times New Roman"/>
                <w:sz w:val="20"/>
              </w:rPr>
              <w:t>Precipitation (mm)</w:t>
            </w:r>
          </w:p>
        </w:tc>
        <w:tc>
          <w:tcPr>
            <w:tcW w:type="dxa" w:w="4680"/>
          </w:tcPr>
          <w:p>
            <w:r>
              <w:rPr>
                <w:rFonts w:ascii="Times New Roman" w:hAnsi="Times New Roman"/>
                <w:sz w:val="20"/>
              </w:rPr>
              <w:t>-0.193</w:t>
            </w:r>
          </w:p>
        </w:tc>
      </w:tr>
      <w:tr>
        <w:tc>
          <w:tcPr>
            <w:tcW w:type="dxa" w:w="4680"/>
          </w:tcPr>
          <w:p>
            <w:r>
              <w:rPr>
                <w:rFonts w:ascii="Times New Roman" w:hAnsi="Times New Roman"/>
                <w:sz w:val="20"/>
              </w:rPr>
              <w:t>Chicken density (head/km2)</w:t>
            </w:r>
          </w:p>
        </w:tc>
        <w:tc>
          <w:tcPr>
            <w:tcW w:type="dxa" w:w="4680"/>
          </w:tcPr>
          <w:p>
            <w:r>
              <w:rPr>
                <w:rFonts w:ascii="Times New Roman" w:hAnsi="Times New Roman"/>
                <w:sz w:val="20"/>
              </w:rPr>
              <w:t>0.024</w:t>
            </w:r>
          </w:p>
        </w:tc>
      </w:tr>
    </w:tbl>
    <w:p/>
    <w:p>
      <w:pPr>
        <w:jc w:val="center"/>
      </w:pPr>
      <w:r>
        <w:drawing>
          <wp:inline xmlns:a="http://schemas.openxmlformats.org/drawingml/2006/main" xmlns:pic="http://schemas.openxmlformats.org/drawingml/2006/picture">
            <wp:extent cx="5029200" cy="3047658"/>
            <wp:docPr id="6" name="Picture 6"/>
            <wp:cNvGraphicFramePr>
              <a:graphicFrameLocks noChangeAspect="1"/>
            </wp:cNvGraphicFramePr>
            <a:graphic>
              <a:graphicData uri="http://schemas.openxmlformats.org/drawingml/2006/picture">
                <pic:pic>
                  <pic:nvPicPr>
                    <pic:cNvPr id="0" name="fig5_climate_seasonality.png"/>
                    <pic:cNvPicPr/>
                  </pic:nvPicPr>
                  <pic:blipFill>
                    <a:blip r:embed="rId14"/>
                    <a:stretch>
                      <a:fillRect/>
                    </a:stretch>
                  </pic:blipFill>
                  <pic:spPr>
                    <a:xfrm>
                      <a:off x="0" y="0"/>
                      <a:ext cx="5029200" cy="3047658"/>
                    </a:xfrm>
                    <a:prstGeom prst="rect"/>
                  </pic:spPr>
                </pic:pic>
              </a:graphicData>
            </a:graphic>
          </wp:inline>
        </w:drawing>
      </w:r>
    </w:p>
    <w:p>
      <w:pPr>
        <w:spacing w:after="240"/>
        <w:jc w:val="center"/>
      </w:pPr>
      <w:r>
        <w:rPr>
          <w:rFonts w:ascii="Times New Roman" w:hAnsi="Times New Roman"/>
          <w:i/>
          <w:sz w:val="20"/>
        </w:rPr>
        <w:t>Figure 6. HPAI outbreaks by division-semester against mean relative humidity, coloured by dry/cool (Jan-Jun) versus monsoon/warm (Jul-Dec) semester. Outbreaks concentrate below approximately 75% mean relative humidity. Source: WAHIS outbreak counts; NASA POWER climate.</w:t>
      </w:r>
    </w:p>
    <w:p>
      <w:pPr>
        <w:pStyle w:val="Heading2"/>
        <w:jc w:val="left"/>
      </w:pPr>
      <w:r>
        <w:rPr>
          <w:rFonts w:ascii="Times New Roman" w:hAnsi="Times New Roman"/>
          <w:b/>
          <w:sz w:val="24"/>
        </w:rPr>
        <w:t>3.7 Negative-Binomial Regression</w:t>
      </w:r>
    </w:p>
    <w:p>
      <w:pPr>
        <w:spacing w:after="120" w:before="0" w:line="440" w:lineRule="exact"/>
        <w:ind w:firstLine="720"/>
        <w:jc w:val="both"/>
      </w:pPr>
      <w:r>
        <w:rPr>
          <w:rFonts w:ascii="Times New Roman" w:hAnsi="Times New Roman"/>
          <w:b w:val="0"/>
          <w:i w:val="0"/>
          <w:sz w:val="24"/>
        </w:rPr>
        <w:t>In a negative-binomial regression with division fixed effects (pseudo R2 = 0.136; likelihood-ratio p = 9.2x10-13; converged), temperature (coefficient -1.92, p&lt;0.001), relative humidity (-0.14, p = 0.001), and precipitation (-0.16 per 100 mm, p = 0.016) were each significantly negatively associated with outbreak counts, confirming the seasonal pattern observed descriptively in Section 3.6 after controlling for division. Dhaka's division fixed effect was significantly positive relative to the Barisal baseline (p = 0.042), and Rangpur and Sylhet were significantly negative (p&lt;0.001 and p = 0.005 respectively), consistent with the raw division ranking in Table 1. The three climate covariates were moderately intercorrelated (|r| up to 0.59), so individual coefficient magnitudes should be interpreted with caution; the joint significance of the climate block is the more robust finding (Section 4.5).</w:t>
      </w:r>
    </w:p>
    <w:p>
      <w:pPr>
        <w:spacing w:before="120"/>
      </w:pPr>
      <w:r>
        <w:rPr>
          <w:rFonts w:ascii="Times New Roman" w:hAnsi="Times New Roman"/>
          <w:b/>
          <w:sz w:val="20"/>
        </w:rPr>
        <w:t>Table 3. Negative-binomial regression of HPAI outbreak counts on climate covariates with division fixed effects (n = 266 division-semester observations; reference division = Barisal). IRR = incidence rate ratio, exp(coefficient).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Term</w:t>
            </w:r>
          </w:p>
        </w:tc>
        <w:tc>
          <w:tcPr>
            <w:tcW w:type="dxa" w:w="1872"/>
          </w:tcPr>
          <w:p>
            <w:pPr>
              <w:jc w:val="center"/>
            </w:pPr>
            <w:r>
              <w:rPr>
                <w:rFonts w:ascii="Times New Roman" w:hAnsi="Times New Roman"/>
                <w:b/>
                <w:sz w:val="20"/>
              </w:rPr>
              <w:t>Coefficient</w:t>
            </w:r>
          </w:p>
        </w:tc>
        <w:tc>
          <w:tcPr>
            <w:tcW w:type="dxa" w:w="1872"/>
          </w:tcPr>
          <w:p>
            <w:pPr>
              <w:jc w:val="center"/>
            </w:pPr>
            <w:r>
              <w:rPr>
                <w:rFonts w:ascii="Times New Roman" w:hAnsi="Times New Roman"/>
                <w:b/>
                <w:sz w:val="20"/>
              </w:rPr>
              <w:t>IRR</w:t>
            </w:r>
          </w:p>
        </w:tc>
        <w:tc>
          <w:tcPr>
            <w:tcW w:type="dxa" w:w="1872"/>
          </w:tcPr>
          <w:p>
            <w:pPr>
              <w:jc w:val="center"/>
            </w:pPr>
            <w:r>
              <w:rPr>
                <w:rFonts w:ascii="Times New Roman" w:hAnsi="Times New Roman"/>
                <w:b/>
                <w:sz w:val="20"/>
              </w:rPr>
              <w:t>Std. Err.</w:t>
            </w:r>
          </w:p>
        </w:tc>
        <w:tc>
          <w:tcPr>
            <w:tcW w:type="dxa" w:w="1872"/>
          </w:tcPr>
          <w:p>
            <w:pPr>
              <w:jc w:val="center"/>
            </w:pPr>
            <w:r>
              <w:rPr>
                <w:rFonts w:ascii="Times New Roman" w:hAnsi="Times New Roman"/>
                <w:b/>
                <w:sz w:val="20"/>
              </w:rPr>
              <w:t>p-value</w:t>
            </w:r>
          </w:p>
        </w:tc>
      </w:tr>
      <w:tr>
        <w:tc>
          <w:tcPr>
            <w:tcW w:type="dxa" w:w="1872"/>
          </w:tcPr>
          <w:p>
            <w:r>
              <w:rPr>
                <w:rFonts w:ascii="Times New Roman" w:hAnsi="Times New Roman"/>
                <w:sz w:val="20"/>
              </w:rPr>
              <w:t>Intercept</w:t>
            </w:r>
          </w:p>
        </w:tc>
        <w:tc>
          <w:tcPr>
            <w:tcW w:type="dxa" w:w="1872"/>
          </w:tcPr>
          <w:p>
            <w:r>
              <w:rPr>
                <w:rFonts w:ascii="Times New Roman" w:hAnsi="Times New Roman"/>
                <w:sz w:val="20"/>
              </w:rPr>
              <w:t>60.52</w:t>
            </w:r>
          </w:p>
        </w:tc>
        <w:tc>
          <w:tcPr>
            <w:tcW w:type="dxa" w:w="1872"/>
          </w:tcPr>
          <w:p>
            <w:r>
              <w:rPr>
                <w:rFonts w:ascii="Times New Roman" w:hAnsi="Times New Roman"/>
                <w:sz w:val="20"/>
              </w:rPr>
              <w:t>-</w:t>
            </w:r>
          </w:p>
        </w:tc>
        <w:tc>
          <w:tcPr>
            <w:tcW w:type="dxa" w:w="1872"/>
          </w:tcPr>
          <w:p>
            <w:r>
              <w:rPr>
                <w:rFonts w:ascii="Times New Roman" w:hAnsi="Times New Roman"/>
                <w:sz w:val="20"/>
              </w:rPr>
              <w:t>16.27</w:t>
            </w:r>
          </w:p>
        </w:tc>
        <w:tc>
          <w:tcPr>
            <w:tcW w:type="dxa" w:w="1872"/>
          </w:tcPr>
          <w:p>
            <w:r>
              <w:rPr>
                <w:rFonts w:ascii="Times New Roman" w:hAnsi="Times New Roman"/>
                <w:sz w:val="20"/>
              </w:rPr>
              <w:t>&lt;0.001</w:t>
            </w:r>
          </w:p>
        </w:tc>
      </w:tr>
      <w:tr>
        <w:tc>
          <w:tcPr>
            <w:tcW w:type="dxa" w:w="1872"/>
          </w:tcPr>
          <w:p>
            <w:r>
              <w:rPr>
                <w:rFonts w:ascii="Times New Roman" w:hAnsi="Times New Roman"/>
                <w:sz w:val="20"/>
              </w:rPr>
              <w:t>Division: Chittagong (ref. Barisal)</w:t>
            </w:r>
          </w:p>
        </w:tc>
        <w:tc>
          <w:tcPr>
            <w:tcW w:type="dxa" w:w="1872"/>
          </w:tcPr>
          <w:p>
            <w:r>
              <w:rPr>
                <w:rFonts w:ascii="Times New Roman" w:hAnsi="Times New Roman"/>
                <w:sz w:val="20"/>
              </w:rPr>
              <w:t>1.07</w:t>
            </w:r>
          </w:p>
        </w:tc>
        <w:tc>
          <w:tcPr>
            <w:tcW w:type="dxa" w:w="1872"/>
          </w:tcPr>
          <w:p>
            <w:r>
              <w:rPr>
                <w:rFonts w:ascii="Times New Roman" w:hAnsi="Times New Roman"/>
                <w:sz w:val="20"/>
              </w:rPr>
              <w:t>2.92</w:t>
            </w:r>
          </w:p>
        </w:tc>
        <w:tc>
          <w:tcPr>
            <w:tcW w:type="dxa" w:w="1872"/>
          </w:tcPr>
          <w:p>
            <w:r>
              <w:rPr>
                <w:rFonts w:ascii="Times New Roman" w:hAnsi="Times New Roman"/>
                <w:sz w:val="20"/>
              </w:rPr>
              <w:t>0.83</w:t>
            </w:r>
          </w:p>
        </w:tc>
        <w:tc>
          <w:tcPr>
            <w:tcW w:type="dxa" w:w="1872"/>
          </w:tcPr>
          <w:p>
            <w:r>
              <w:rPr>
                <w:rFonts w:ascii="Times New Roman" w:hAnsi="Times New Roman"/>
                <w:sz w:val="20"/>
              </w:rPr>
              <w:t>0.195</w:t>
            </w:r>
          </w:p>
        </w:tc>
      </w:tr>
      <w:tr>
        <w:tc>
          <w:tcPr>
            <w:tcW w:type="dxa" w:w="1872"/>
          </w:tcPr>
          <w:p>
            <w:r>
              <w:rPr>
                <w:rFonts w:ascii="Times New Roman" w:hAnsi="Times New Roman"/>
                <w:sz w:val="20"/>
              </w:rPr>
              <w:t>Division: Dhaka</w:t>
            </w:r>
          </w:p>
        </w:tc>
        <w:tc>
          <w:tcPr>
            <w:tcW w:type="dxa" w:w="1872"/>
          </w:tcPr>
          <w:p>
            <w:r>
              <w:rPr>
                <w:rFonts w:ascii="Times New Roman" w:hAnsi="Times New Roman"/>
                <w:sz w:val="20"/>
              </w:rPr>
              <w:t>1.58</w:t>
            </w:r>
          </w:p>
        </w:tc>
        <w:tc>
          <w:tcPr>
            <w:tcW w:type="dxa" w:w="1872"/>
          </w:tcPr>
          <w:p>
            <w:r>
              <w:rPr>
                <w:rFonts w:ascii="Times New Roman" w:hAnsi="Times New Roman"/>
                <w:sz w:val="20"/>
              </w:rPr>
              <w:t>4.85</w:t>
            </w:r>
          </w:p>
        </w:tc>
        <w:tc>
          <w:tcPr>
            <w:tcW w:type="dxa" w:w="1872"/>
          </w:tcPr>
          <w:p>
            <w:r>
              <w:rPr>
                <w:rFonts w:ascii="Times New Roman" w:hAnsi="Times New Roman"/>
                <w:sz w:val="20"/>
              </w:rPr>
              <w:t>0.78</w:t>
            </w:r>
          </w:p>
        </w:tc>
        <w:tc>
          <w:tcPr>
            <w:tcW w:type="dxa" w:w="1872"/>
          </w:tcPr>
          <w:p>
            <w:r>
              <w:rPr>
                <w:rFonts w:ascii="Times New Roman" w:hAnsi="Times New Roman"/>
                <w:sz w:val="20"/>
              </w:rPr>
              <w:t>0.042</w:t>
            </w:r>
          </w:p>
        </w:tc>
      </w:tr>
      <w:tr>
        <w:tc>
          <w:tcPr>
            <w:tcW w:type="dxa" w:w="1872"/>
          </w:tcPr>
          <w:p>
            <w:r>
              <w:rPr>
                <w:rFonts w:ascii="Times New Roman" w:hAnsi="Times New Roman"/>
                <w:sz w:val="20"/>
              </w:rPr>
              <w:t>Division: Khulna</w:t>
            </w:r>
          </w:p>
        </w:tc>
        <w:tc>
          <w:tcPr>
            <w:tcW w:type="dxa" w:w="1872"/>
          </w:tcPr>
          <w:p>
            <w:r>
              <w:rPr>
                <w:rFonts w:ascii="Times New Roman" w:hAnsi="Times New Roman"/>
                <w:sz w:val="20"/>
              </w:rPr>
              <w:t>-0.03</w:t>
            </w:r>
          </w:p>
        </w:tc>
        <w:tc>
          <w:tcPr>
            <w:tcW w:type="dxa" w:w="1872"/>
          </w:tcPr>
          <w:p>
            <w:r>
              <w:rPr>
                <w:rFonts w:ascii="Times New Roman" w:hAnsi="Times New Roman"/>
                <w:sz w:val="20"/>
              </w:rPr>
              <w:t>0.97</w:t>
            </w:r>
          </w:p>
        </w:tc>
        <w:tc>
          <w:tcPr>
            <w:tcW w:type="dxa" w:w="1872"/>
          </w:tcPr>
          <w:p>
            <w:r>
              <w:rPr>
                <w:rFonts w:ascii="Times New Roman" w:hAnsi="Times New Roman"/>
                <w:sz w:val="20"/>
              </w:rPr>
              <w:t>0.74</w:t>
            </w:r>
          </w:p>
        </w:tc>
        <w:tc>
          <w:tcPr>
            <w:tcW w:type="dxa" w:w="1872"/>
          </w:tcPr>
          <w:p>
            <w:r>
              <w:rPr>
                <w:rFonts w:ascii="Times New Roman" w:hAnsi="Times New Roman"/>
                <w:sz w:val="20"/>
              </w:rPr>
              <w:t>0.967</w:t>
            </w:r>
          </w:p>
        </w:tc>
      </w:tr>
      <w:tr>
        <w:tc>
          <w:tcPr>
            <w:tcW w:type="dxa" w:w="1872"/>
          </w:tcPr>
          <w:p>
            <w:r>
              <w:rPr>
                <w:rFonts w:ascii="Times New Roman" w:hAnsi="Times New Roman"/>
                <w:sz w:val="20"/>
              </w:rPr>
              <w:t>Division: Rajshahi</w:t>
            </w:r>
          </w:p>
        </w:tc>
        <w:tc>
          <w:tcPr>
            <w:tcW w:type="dxa" w:w="1872"/>
          </w:tcPr>
          <w:p>
            <w:r>
              <w:rPr>
                <w:rFonts w:ascii="Times New Roman" w:hAnsi="Times New Roman"/>
                <w:sz w:val="20"/>
              </w:rPr>
              <w:t>0.13</w:t>
            </w:r>
          </w:p>
        </w:tc>
        <w:tc>
          <w:tcPr>
            <w:tcW w:type="dxa" w:w="1872"/>
          </w:tcPr>
          <w:p>
            <w:r>
              <w:rPr>
                <w:rFonts w:ascii="Times New Roman" w:hAnsi="Times New Roman"/>
                <w:sz w:val="20"/>
              </w:rPr>
              <w:t>1.14</w:t>
            </w:r>
          </w:p>
        </w:tc>
        <w:tc>
          <w:tcPr>
            <w:tcW w:type="dxa" w:w="1872"/>
          </w:tcPr>
          <w:p>
            <w:r>
              <w:rPr>
                <w:rFonts w:ascii="Times New Roman" w:hAnsi="Times New Roman"/>
                <w:sz w:val="20"/>
              </w:rPr>
              <w:t>0.71</w:t>
            </w:r>
          </w:p>
        </w:tc>
        <w:tc>
          <w:tcPr>
            <w:tcW w:type="dxa" w:w="1872"/>
          </w:tcPr>
          <w:p>
            <w:r>
              <w:rPr>
                <w:rFonts w:ascii="Times New Roman" w:hAnsi="Times New Roman"/>
                <w:sz w:val="20"/>
              </w:rPr>
              <w:t>0.855</w:t>
            </w:r>
          </w:p>
        </w:tc>
      </w:tr>
      <w:tr>
        <w:tc>
          <w:tcPr>
            <w:tcW w:type="dxa" w:w="1872"/>
          </w:tcPr>
          <w:p>
            <w:r>
              <w:rPr>
                <w:rFonts w:ascii="Times New Roman" w:hAnsi="Times New Roman"/>
                <w:sz w:val="20"/>
              </w:rPr>
              <w:t>Division: Rangpur</w:t>
            </w:r>
          </w:p>
        </w:tc>
        <w:tc>
          <w:tcPr>
            <w:tcW w:type="dxa" w:w="1872"/>
          </w:tcPr>
          <w:p>
            <w:r>
              <w:rPr>
                <w:rFonts w:ascii="Times New Roman" w:hAnsi="Times New Roman"/>
                <w:sz w:val="20"/>
              </w:rPr>
              <w:t>-4.54</w:t>
            </w:r>
          </w:p>
        </w:tc>
        <w:tc>
          <w:tcPr>
            <w:tcW w:type="dxa" w:w="1872"/>
          </w:tcPr>
          <w:p>
            <w:r>
              <w:rPr>
                <w:rFonts w:ascii="Times New Roman" w:hAnsi="Times New Roman"/>
                <w:sz w:val="20"/>
              </w:rPr>
              <w:t>0.011</w:t>
            </w:r>
          </w:p>
        </w:tc>
        <w:tc>
          <w:tcPr>
            <w:tcW w:type="dxa" w:w="1872"/>
          </w:tcPr>
          <w:p>
            <w:r>
              <w:rPr>
                <w:rFonts w:ascii="Times New Roman" w:hAnsi="Times New Roman"/>
                <w:sz w:val="20"/>
              </w:rPr>
              <w:t>1.25</w:t>
            </w:r>
          </w:p>
        </w:tc>
        <w:tc>
          <w:tcPr>
            <w:tcW w:type="dxa" w:w="1872"/>
          </w:tcPr>
          <w:p>
            <w:r>
              <w:rPr>
                <w:rFonts w:ascii="Times New Roman" w:hAnsi="Times New Roman"/>
                <w:sz w:val="20"/>
              </w:rPr>
              <w:t>&lt;0.001</w:t>
            </w:r>
          </w:p>
        </w:tc>
      </w:tr>
      <w:tr>
        <w:tc>
          <w:tcPr>
            <w:tcW w:type="dxa" w:w="1872"/>
          </w:tcPr>
          <w:p>
            <w:r>
              <w:rPr>
                <w:rFonts w:ascii="Times New Roman" w:hAnsi="Times New Roman"/>
                <w:sz w:val="20"/>
              </w:rPr>
              <w:t>Division: Sylhet</w:t>
            </w:r>
          </w:p>
        </w:tc>
        <w:tc>
          <w:tcPr>
            <w:tcW w:type="dxa" w:w="1872"/>
          </w:tcPr>
          <w:p>
            <w:r>
              <w:rPr>
                <w:rFonts w:ascii="Times New Roman" w:hAnsi="Times New Roman"/>
                <w:sz w:val="20"/>
              </w:rPr>
              <w:t>-3.48</w:t>
            </w:r>
          </w:p>
        </w:tc>
        <w:tc>
          <w:tcPr>
            <w:tcW w:type="dxa" w:w="1872"/>
          </w:tcPr>
          <w:p>
            <w:r>
              <w:rPr>
                <w:rFonts w:ascii="Times New Roman" w:hAnsi="Times New Roman"/>
                <w:sz w:val="20"/>
              </w:rPr>
              <w:t>0.031</w:t>
            </w:r>
          </w:p>
        </w:tc>
        <w:tc>
          <w:tcPr>
            <w:tcW w:type="dxa" w:w="1872"/>
          </w:tcPr>
          <w:p>
            <w:r>
              <w:rPr>
                <w:rFonts w:ascii="Times New Roman" w:hAnsi="Times New Roman"/>
                <w:sz w:val="20"/>
              </w:rPr>
              <w:t>1.25</w:t>
            </w:r>
          </w:p>
        </w:tc>
        <w:tc>
          <w:tcPr>
            <w:tcW w:type="dxa" w:w="1872"/>
          </w:tcPr>
          <w:p>
            <w:r>
              <w:rPr>
                <w:rFonts w:ascii="Times New Roman" w:hAnsi="Times New Roman"/>
                <w:sz w:val="20"/>
              </w:rPr>
              <w:t>0.005</w:t>
            </w:r>
          </w:p>
        </w:tc>
      </w:tr>
      <w:tr>
        <w:tc>
          <w:tcPr>
            <w:tcW w:type="dxa" w:w="1872"/>
          </w:tcPr>
          <w:p>
            <w:r>
              <w:rPr>
                <w:rFonts w:ascii="Times New Roman" w:hAnsi="Times New Roman"/>
                <w:sz w:val="20"/>
              </w:rPr>
              <w:t>Temperature (degC)</w:t>
            </w:r>
          </w:p>
        </w:tc>
        <w:tc>
          <w:tcPr>
            <w:tcW w:type="dxa" w:w="1872"/>
          </w:tcPr>
          <w:p>
            <w:r>
              <w:rPr>
                <w:rFonts w:ascii="Times New Roman" w:hAnsi="Times New Roman"/>
                <w:sz w:val="20"/>
              </w:rPr>
              <w:t>-1.92</w:t>
            </w:r>
          </w:p>
        </w:tc>
        <w:tc>
          <w:tcPr>
            <w:tcW w:type="dxa" w:w="1872"/>
          </w:tcPr>
          <w:p>
            <w:r>
              <w:rPr>
                <w:rFonts w:ascii="Times New Roman" w:hAnsi="Times New Roman"/>
                <w:sz w:val="20"/>
              </w:rPr>
              <w:t>0.147</w:t>
            </w:r>
          </w:p>
        </w:tc>
        <w:tc>
          <w:tcPr>
            <w:tcW w:type="dxa" w:w="1872"/>
          </w:tcPr>
          <w:p>
            <w:r>
              <w:rPr>
                <w:rFonts w:ascii="Times New Roman" w:hAnsi="Times New Roman"/>
                <w:sz w:val="20"/>
              </w:rPr>
              <w:t>0.55</w:t>
            </w:r>
          </w:p>
        </w:tc>
        <w:tc>
          <w:tcPr>
            <w:tcW w:type="dxa" w:w="1872"/>
          </w:tcPr>
          <w:p>
            <w:r>
              <w:rPr>
                <w:rFonts w:ascii="Times New Roman" w:hAnsi="Times New Roman"/>
                <w:sz w:val="20"/>
              </w:rPr>
              <w:t>&lt;0.001</w:t>
            </w:r>
          </w:p>
        </w:tc>
      </w:tr>
      <w:tr>
        <w:tc>
          <w:tcPr>
            <w:tcW w:type="dxa" w:w="1872"/>
          </w:tcPr>
          <w:p>
            <w:r>
              <w:rPr>
                <w:rFonts w:ascii="Times New Roman" w:hAnsi="Times New Roman"/>
                <w:sz w:val="20"/>
              </w:rPr>
              <w:t>Humidity (%)</w:t>
            </w:r>
          </w:p>
        </w:tc>
        <w:tc>
          <w:tcPr>
            <w:tcW w:type="dxa" w:w="1872"/>
          </w:tcPr>
          <w:p>
            <w:r>
              <w:rPr>
                <w:rFonts w:ascii="Times New Roman" w:hAnsi="Times New Roman"/>
                <w:sz w:val="20"/>
              </w:rPr>
              <w:t>-0.14</w:t>
            </w:r>
          </w:p>
        </w:tc>
        <w:tc>
          <w:tcPr>
            <w:tcW w:type="dxa" w:w="1872"/>
          </w:tcPr>
          <w:p>
            <w:r>
              <w:rPr>
                <w:rFonts w:ascii="Times New Roman" w:hAnsi="Times New Roman"/>
                <w:sz w:val="20"/>
              </w:rPr>
              <w:t>0.872</w:t>
            </w:r>
          </w:p>
        </w:tc>
        <w:tc>
          <w:tcPr>
            <w:tcW w:type="dxa" w:w="1872"/>
          </w:tcPr>
          <w:p>
            <w:r>
              <w:rPr>
                <w:rFonts w:ascii="Times New Roman" w:hAnsi="Times New Roman"/>
                <w:sz w:val="20"/>
              </w:rPr>
              <w:t>0.04</w:t>
            </w:r>
          </w:p>
        </w:tc>
        <w:tc>
          <w:tcPr>
            <w:tcW w:type="dxa" w:w="1872"/>
          </w:tcPr>
          <w:p>
            <w:r>
              <w:rPr>
                <w:rFonts w:ascii="Times New Roman" w:hAnsi="Times New Roman"/>
                <w:sz w:val="20"/>
              </w:rPr>
              <w:t>0.001</w:t>
            </w:r>
          </w:p>
        </w:tc>
      </w:tr>
      <w:tr>
        <w:tc>
          <w:tcPr>
            <w:tcW w:type="dxa" w:w="1872"/>
          </w:tcPr>
          <w:p>
            <w:r>
              <w:rPr>
                <w:rFonts w:ascii="Times New Roman" w:hAnsi="Times New Roman"/>
                <w:sz w:val="20"/>
              </w:rPr>
              <w:t>Precipitation (per 100mm)</w:t>
            </w:r>
          </w:p>
        </w:tc>
        <w:tc>
          <w:tcPr>
            <w:tcW w:type="dxa" w:w="1872"/>
          </w:tcPr>
          <w:p>
            <w:r>
              <w:rPr>
                <w:rFonts w:ascii="Times New Roman" w:hAnsi="Times New Roman"/>
                <w:sz w:val="20"/>
              </w:rPr>
              <w:t>-0.16</w:t>
            </w:r>
          </w:p>
        </w:tc>
        <w:tc>
          <w:tcPr>
            <w:tcW w:type="dxa" w:w="1872"/>
          </w:tcPr>
          <w:p>
            <w:r>
              <w:rPr>
                <w:rFonts w:ascii="Times New Roman" w:hAnsi="Times New Roman"/>
                <w:sz w:val="20"/>
              </w:rPr>
              <w:t>0.848</w:t>
            </w:r>
          </w:p>
        </w:tc>
        <w:tc>
          <w:tcPr>
            <w:tcW w:type="dxa" w:w="1872"/>
          </w:tcPr>
          <w:p>
            <w:r>
              <w:rPr>
                <w:rFonts w:ascii="Times New Roman" w:hAnsi="Times New Roman"/>
                <w:sz w:val="20"/>
              </w:rPr>
              <w:t>0.07</w:t>
            </w:r>
          </w:p>
        </w:tc>
        <w:tc>
          <w:tcPr>
            <w:tcW w:type="dxa" w:w="1872"/>
          </w:tcPr>
          <w:p>
            <w:r>
              <w:rPr>
                <w:rFonts w:ascii="Times New Roman" w:hAnsi="Times New Roman"/>
                <w:sz w:val="20"/>
              </w:rPr>
              <w:t>0.016</w:t>
            </w:r>
          </w:p>
        </w:tc>
      </w:tr>
      <w:tr>
        <w:tc>
          <w:tcPr>
            <w:tcW w:type="dxa" w:w="1872"/>
          </w:tcPr>
          <w:p>
            <w:r>
              <w:rPr>
                <w:rFonts w:ascii="Times New Roman" w:hAnsi="Times New Roman"/>
                <w:sz w:val="20"/>
              </w:rPr>
              <w:t>alpha (dispersion)</w:t>
            </w:r>
          </w:p>
        </w:tc>
        <w:tc>
          <w:tcPr>
            <w:tcW w:type="dxa" w:w="1872"/>
          </w:tcPr>
          <w:p>
            <w:r>
              <w:rPr>
                <w:rFonts w:ascii="Times New Roman" w:hAnsi="Times New Roman"/>
                <w:sz w:val="20"/>
              </w:rPr>
              <w:t>6.37</w:t>
            </w:r>
          </w:p>
        </w:tc>
        <w:tc>
          <w:tcPr>
            <w:tcW w:type="dxa" w:w="1872"/>
          </w:tcPr>
          <w:p>
            <w:r>
              <w:rPr>
                <w:rFonts w:ascii="Times New Roman" w:hAnsi="Times New Roman"/>
                <w:sz w:val="20"/>
              </w:rPr>
              <w:t>-</w:t>
            </w:r>
          </w:p>
        </w:tc>
        <w:tc>
          <w:tcPr>
            <w:tcW w:type="dxa" w:w="1872"/>
          </w:tcPr>
          <w:p>
            <w:r>
              <w:rPr>
                <w:rFonts w:ascii="Times New Roman" w:hAnsi="Times New Roman"/>
                <w:sz w:val="20"/>
              </w:rPr>
              <w:t>1.29</w:t>
            </w:r>
          </w:p>
        </w:tc>
        <w:tc>
          <w:tcPr>
            <w:tcW w:type="dxa" w:w="1872"/>
          </w:tcPr>
          <w:p>
            <w:r>
              <w:rPr>
                <w:rFonts w:ascii="Times New Roman" w:hAnsi="Times New Roman"/>
                <w:sz w:val="20"/>
              </w:rPr>
              <w:t>&lt;0.001</w:t>
            </w:r>
          </w:p>
        </w:tc>
      </w:tr>
    </w:tbl>
    <w:p/>
    <w:p>
      <w:pPr>
        <w:pStyle w:val="Heading1"/>
        <w:jc w:val="left"/>
      </w:pPr>
      <w:r>
        <w:rPr>
          <w:rFonts w:ascii="Times New Roman" w:hAnsi="Times New Roman"/>
          <w:b/>
          <w:sz w:val="26"/>
        </w:rPr>
        <w:t>4. Discussion</w:t>
      </w:r>
    </w:p>
    <w:p>
      <w:pPr>
        <w:pStyle w:val="Heading2"/>
        <w:jc w:val="left"/>
      </w:pPr>
      <w:r>
        <w:rPr>
          <w:rFonts w:ascii="Times New Roman" w:hAnsi="Times New Roman"/>
          <w:b/>
          <w:sz w:val="24"/>
        </w:rPr>
        <w:t>4.1 A Persistent, Dhaka-Centred Poultry-Sector Disease</w:t>
      </w:r>
    </w:p>
    <w:p>
      <w:pPr>
        <w:spacing w:after="120" w:before="0" w:line="440" w:lineRule="exact"/>
        <w:ind w:firstLine="720"/>
        <w:jc w:val="both"/>
      </w:pPr>
      <w:r>
        <w:rPr>
          <w:rFonts w:ascii="Times New Roman" w:hAnsi="Times New Roman"/>
          <w:b w:val="0"/>
          <w:i w:val="0"/>
          <w:sz w:val="24"/>
        </w:rPr>
        <w:t>Two decades of WAHIS surveillance confirm HPAI as a recurring, rather than one-off, feature of Bangladesh's poultry sector, with Dhaka division consistently the epicentre. Dhaka's dominance (47.2% of the national outbreak total, and a significantly elevated division fixed effect even after accounting for climate) most plausibly reflects its position as Bangladesh's largest live-bird-market and poultry-trade hub rather than simply its poultry density, which was mid-range rather than highest among divisions (Section 3.3). This is consistent with the well-established role of live-bird markets, rather than raw farm density alone, as amplification points for HPAI transmission in South and Southeast Asia [1,3].</w:t>
      </w:r>
    </w:p>
    <w:p>
      <w:pPr>
        <w:pStyle w:val="Heading2"/>
        <w:jc w:val="left"/>
      </w:pPr>
      <w:r>
        <w:rPr>
          <w:rFonts w:ascii="Times New Roman" w:hAnsi="Times New Roman"/>
          <w:b/>
          <w:sz w:val="24"/>
        </w:rPr>
        <w:t>4.2 Strong Dry-Season Seasonality</w:t>
      </w:r>
    </w:p>
    <w:p>
      <w:pPr>
        <w:spacing w:after="120" w:before="0" w:line="440" w:lineRule="exact"/>
        <w:ind w:firstLine="720"/>
        <w:jc w:val="both"/>
      </w:pPr>
      <w:r>
        <w:rPr>
          <w:rFonts w:ascii="Times New Roman" w:hAnsi="Times New Roman"/>
          <w:b w:val="0"/>
          <w:i w:val="0"/>
          <w:sz w:val="24"/>
        </w:rPr>
        <w:t>The concentration of outbreaks in the dry, cooler January-June semester (93.3% of division-resolved outbreaks) and its confirmation in a regression controlling for division is consistent with the broader literature on avian-influenza-virus persistence, which favours cooler, lower-humidity conditions for environmental survival [2], and with the timing of Bangladesh's winter migratory wild-bird season and heightened live-poultry trade around winter festivals. This seasonal predictability, if confirmed in future years, could support timing enhanced surveillance and biosecurity messaging ahead of the dry season rather than distributing effort evenly across the year.</w:t>
      </w:r>
    </w:p>
    <w:p>
      <w:pPr>
        <w:pStyle w:val="Heading2"/>
        <w:jc w:val="left"/>
      </w:pPr>
      <w:r>
        <w:rPr>
          <w:rFonts w:ascii="Times New Roman" w:hAnsi="Times New Roman"/>
          <w:b/>
          <w:sz w:val="24"/>
        </w:rPr>
        <w:t>4.3 Two Peaks Within One Tracked Epidemic</w:t>
      </w:r>
    </w:p>
    <w:p>
      <w:pPr>
        <w:spacing w:after="120" w:before="0" w:line="440" w:lineRule="exact"/>
        <w:ind w:firstLine="720"/>
        <w:jc w:val="both"/>
      </w:pPr>
      <w:r>
        <w:rPr>
          <w:rFonts w:ascii="Times New Roman" w:hAnsi="Times New Roman"/>
          <w:b w:val="0"/>
          <w:i w:val="0"/>
          <w:sz w:val="24"/>
        </w:rPr>
        <w:t>The report-level reconstruction of WAHIS event 192 (Section 3.5) illustrates how semester-aggregated surveillance data can obscure epidemic structure: what appears as one continuous 2007-2013 wave in six-month reports resolves, at near-monthly report resolution, into two distinct peaks (April 2008 and March 2011) separated by a comparatively quiet two-year period. This distinction matters for interpreting whether control measures, re-introduction, or genuinely independent epidemic drivers explain the 2011 resurgence -- a question this descriptive analysis cannot resolve but that the underlying WAHIS report history (data/processed/hpai_event192_report_history.csv in the accompanying repository) could support with further investigation.</w:t>
      </w:r>
    </w:p>
    <w:p>
      <w:pPr>
        <w:pStyle w:val="Heading2"/>
        <w:jc w:val="left"/>
      </w:pPr>
      <w:r>
        <w:rPr>
          <w:rFonts w:ascii="Times New Roman" w:hAnsi="Times New Roman"/>
          <w:b/>
          <w:sz w:val="24"/>
        </w:rPr>
        <w:t>4.4 The 2025 Captive-Serval Detection: A One Health Signal</w:t>
      </w:r>
    </w:p>
    <w:p>
      <w:pPr>
        <w:spacing w:after="120" w:before="0" w:line="440" w:lineRule="exact"/>
        <w:ind w:firstLine="720"/>
        <w:jc w:val="both"/>
      </w:pPr>
      <w:r>
        <w:rPr>
          <w:rFonts w:ascii="Times New Roman" w:hAnsi="Times New Roman"/>
          <w:b w:val="0"/>
          <w:i w:val="0"/>
          <w:sz w:val="24"/>
        </w:rPr>
        <w:t>The most recent WAHIS record for Bangladesh -- H5N1 in a captive Serval, with both susceptible animals dying -- is notable less for its scale (a single small event) than for what it represents: a confirmed detection in a non-poultry, non-avian host, explicitly flagged by the reporting authority as an 'unusual host species' event. Internationally, H5N1 clade 2.3.4.4b has caused widening mammalian spillover since 2020, including in captive and wild felids in multiple countries [8]; this analysis cannot determine whether the Bangladesh Serval case belongs to that clade, as WAHIS did not report a full genotype for this event, but the event's classification as 'WILD Captive' -- most consistent with a zoo, rescue, or private captive-wildlife setting -- points to captive-wildlife biosecurity, rather than confirmed free-ranging wildlife transmission, as the immediate area for follow-up. Combined with the 2016-2019 House Crow and Phasianidae detections, this case underscores the value of maintaining wild/non-poultry HPAI surveillance in Bangladesh even during years when poultry-sector reporting is quiet.</w:t>
      </w:r>
    </w:p>
    <w:p>
      <w:pPr>
        <w:pStyle w:val="Heading2"/>
        <w:jc w:val="left"/>
      </w:pPr>
      <w:r>
        <w:rPr>
          <w:rFonts w:ascii="Times New Roman" w:hAnsi="Times New Roman"/>
          <w:b/>
          <w:sz w:val="24"/>
        </w:rPr>
        <w:t>4.5 Limitations</w:t>
      </w:r>
    </w:p>
    <w:p>
      <w:pPr>
        <w:spacing w:after="120" w:before="0" w:line="440" w:lineRule="exact"/>
        <w:ind w:firstLine="720"/>
        <w:jc w:val="both"/>
      </w:pPr>
      <w:r>
        <w:rPr>
          <w:rFonts w:ascii="Times New Roman" w:hAnsi="Times New Roman"/>
          <w:b w:val="0"/>
          <w:i w:val="0"/>
          <w:sz w:val="24"/>
        </w:rPr>
        <w:t>Several limitations should be considered. First, WAHIS-reported outbreaks reflect official government reporting, which is known globally to underrepresent true incidence, particularly in informal backyard and smallholder poultry sectors; the absence of report rows for 2021-2022 in particular cannot be distinguished from a true reporting gap versus genuine disease absence. Second, spatial resolution in this analysis is limited to administrative division: WAHIS's individual-outbreak records do carry exact coordinates (confirmed for the 2025 Serval case, Section 3.4), but no bulk export of this coordinate layer exists, and the largest event alone (192) comprises 549 individual outbreaks, making point-level extraction impractical without direct WAHIS data-sharing access; point-pattern or kernel-density analysis was therefore out of scope. Third, poultry density is a single 2020 cross-section applied uniformly across 2007-2025 and does not capture the sector's substantial growth over this period, nor distinguish commercial from backyard production. Fourth, division-centroid climate values are coarse approximations of conditions at actual outbreak sites. Fifth, the three climate covariates are moderately intercorrelated (Section 3.7), so the regression should be read as confirming a joint seasonal climate signal rather than precisely apportioning independent effects to temperature, humidity, and precipitation individually. Sixth, this is an ecological, ill-designed-for-causality analysis at the division-semester level; individual-level or farm-level risk factors (bird density on individual holdings, market connectivity, biosecurity practices) that prior Bangladesh-specific studies have examined for the 2007-2013 period [3,4] were outside the scope of this national surveillance-record analysis.</w:t>
      </w:r>
    </w:p>
    <w:p>
      <w:pPr>
        <w:pStyle w:val="Heading1"/>
        <w:jc w:val="left"/>
      </w:pPr>
      <w:r>
        <w:rPr>
          <w:rFonts w:ascii="Times New Roman" w:hAnsi="Times New Roman"/>
          <w:b/>
          <w:sz w:val="26"/>
        </w:rPr>
        <w:t>5. Conclusions</w:t>
      </w:r>
    </w:p>
    <w:p>
      <w:pPr>
        <w:spacing w:after="120" w:before="0" w:line="440" w:lineRule="exact"/>
        <w:ind w:firstLine="720"/>
        <w:jc w:val="both"/>
      </w:pPr>
      <w:r>
        <w:rPr>
          <w:rFonts w:ascii="Times New Roman" w:hAnsi="Times New Roman"/>
          <w:b w:val="0"/>
          <w:i w:val="0"/>
          <w:sz w:val="24"/>
        </w:rPr>
        <w:t>Highly pathogenic avian influenza has recurred in Bangladesh's poultry sector across nearly two decades of WAHIS surveillance, concentrated in Dhaka division and strongly seasonal toward the dry, cooler months -- a pattern that persists after controlling for division and is not explained by poultry density alone. Report-level reconstruction of the largest tracked epidemic wave reveals internal structure (two peaks, not one) invisible in standard semester-aggregated reporting. The 2025 detection of H5N1 in a captive Serval, alongside earlier wild-bird detections, signals an emerging One Health surveillance need in Bangladesh that extends beyond the traditional poultry-sector focus of prior national HPAI research.</w:t>
      </w:r>
    </w:p>
    <w:p>
      <w:pPr>
        <w:pStyle w:val="Heading1"/>
        <w:jc w:val="left"/>
      </w:pPr>
      <w:r>
        <w:rPr>
          <w:rFonts w:ascii="Times New Roman" w:hAnsi="Times New Roman"/>
          <w:b/>
          <w:sz w:val="26"/>
        </w:rPr>
        <w:t>Data Availability Statement</w:t>
      </w:r>
    </w:p>
    <w:p>
      <w:pPr>
        <w:spacing w:after="120" w:before="0" w:line="440" w:lineRule="exact"/>
        <w:jc w:val="both"/>
      </w:pPr>
      <w:r>
        <w:rPr>
          <w:rFonts w:ascii="Times New Roman" w:hAnsi="Times New Roman"/>
          <w:b w:val="0"/>
          <w:i w:val="0"/>
          <w:sz w:val="24"/>
        </w:rPr>
        <w:t>All data, cleaning/analysis code, and figures used in this study are publicly available at: https://github.com/khalilurrrahmanridoykhan/bangladesh-avian-influenza-2007-2025. Source data were retrieved from the WOAH World Animal Health Information System (https://wahis.woah.org), the NASA POWER API (https://power.larc.nasa.gov), and the FAO Gridded Livestock of the World v4 catalog (https://data.apps.fao.org).</w:t>
      </w:r>
    </w:p>
    <w:p>
      <w:pPr>
        <w:pStyle w:val="Heading1"/>
        <w:jc w:val="left"/>
      </w:pPr>
      <w:r>
        <w:rPr>
          <w:rFonts w:ascii="Times New Roman" w:hAnsi="Times New Roman"/>
          <w:b/>
          <w:sz w:val="26"/>
        </w:rPr>
        <w:t>Competing Interests</w:t>
      </w:r>
    </w:p>
    <w:p>
      <w:pPr>
        <w:spacing w:after="120" w:before="0" w:line="440" w:lineRule="exact"/>
        <w:jc w:val="both"/>
      </w:pPr>
      <w:r>
        <w:rPr>
          <w:rFonts w:ascii="Times New Roman" w:hAnsi="Times New Roman"/>
          <w:b w:val="0"/>
          <w:i w:val="0"/>
          <w:sz w:val="24"/>
        </w:rPr>
        <w:t>The author declares no competing interests.</w:t>
      </w:r>
    </w:p>
    <w:p>
      <w:pPr>
        <w:pStyle w:val="Heading1"/>
        <w:jc w:val="left"/>
      </w:pPr>
      <w:r>
        <w:rPr>
          <w:rFonts w:ascii="Times New Roman" w:hAnsi="Times New Roman"/>
          <w:b/>
          <w:sz w:val="26"/>
        </w:rPr>
        <w:t>Funding</w:t>
      </w:r>
    </w:p>
    <w:p>
      <w:pPr>
        <w:spacing w:after="120" w:before="0" w:line="440" w:lineRule="exact"/>
        <w:jc w:val="both"/>
      </w:pPr>
      <w:r>
        <w:rPr>
          <w:rFonts w:ascii="Times New Roman" w:hAnsi="Times New Roman"/>
          <w:b w:val="0"/>
          <w:i w:val="0"/>
          <w:sz w:val="24"/>
        </w:rPr>
        <w:t>This research received no specific funding from any funding agency in the public, commercial, or not-for-profit sectors.</w:t>
      </w:r>
    </w:p>
    <w:p>
      <w:r>
        <w:br w:type="page"/>
      </w:r>
    </w:p>
    <w:p>
      <w:pPr>
        <w:pStyle w:val="Heading1"/>
        <w:jc w:val="left"/>
      </w:pPr>
      <w:r>
        <w:rPr>
          <w:rFonts w:ascii="Times New Roman" w:hAnsi="Times New Roman"/>
          <w:b/>
          <w:sz w:val="26"/>
        </w:rPr>
        <w:t>References</w:t>
      </w:r>
    </w:p>
    <w:p>
      <w:pPr>
        <w:spacing w:after="240" w:before="0" w:line="440" w:lineRule="exact"/>
        <w:jc w:val="both"/>
      </w:pPr>
      <w:r>
        <w:rPr>
          <w:rFonts w:ascii="Times New Roman" w:hAnsi="Times New Roman"/>
          <w:b w:val="0"/>
          <w:i/>
          <w:sz w:val="24"/>
        </w:rPr>
        <w:t>NOTE TO AUTHOR: references [3], [4], and [8] below are cited from memory and MUST be independently verified (author names, year, volume/page, DOI) against the original sources before submission. References [1], [2], [5], [6], and [7] point to organizational/data sources used directly by this analysis pipeline and are safe to cite as-is.</w:t>
      </w:r>
    </w:p>
    <w:p>
      <w:pPr>
        <w:spacing w:after="80" w:line="360" w:lineRule="exact"/>
        <w:ind w:left="567" w:hanging="567"/>
        <w:jc w:val="both"/>
      </w:pPr>
      <w:r>
        <w:rPr>
          <w:rFonts w:ascii="Times New Roman" w:hAnsi="Times New Roman"/>
          <w:sz w:val="22"/>
        </w:rPr>
        <w:t>[1] WOAH (World Organisation for Animal Health). Avian Influenza. Disease fact sheet. Available at: https://www.woah.org/en/disease/avian-influenza/</w:t>
      </w:r>
    </w:p>
    <w:p>
      <w:pPr>
        <w:spacing w:after="80" w:line="360" w:lineRule="exact"/>
        <w:ind w:left="567" w:hanging="567"/>
        <w:jc w:val="both"/>
      </w:pPr>
      <w:r>
        <w:rPr>
          <w:rFonts w:ascii="Times New Roman" w:hAnsi="Times New Roman"/>
          <w:sz w:val="22"/>
        </w:rPr>
        <w:t>[2] FAO (Food and Agriculture Organization of the United Nations). H5N1 highly pathogenic avian influenza global situation update. FAO Emergency Prevention System (EMPRES) for animal health. Available at: https://www.fao.org/animal-health/situation-updates/en</w:t>
      </w:r>
    </w:p>
    <w:p>
      <w:pPr>
        <w:spacing w:after="80" w:line="360" w:lineRule="exact"/>
        <w:ind w:left="567" w:hanging="567"/>
        <w:jc w:val="both"/>
      </w:pPr>
      <w:r>
        <w:rPr>
          <w:rFonts w:ascii="Times New Roman" w:hAnsi="Times New Roman"/>
          <w:sz w:val="22"/>
        </w:rPr>
        <w:t>[3] Biswas PK, Christensen JP, Ahmed SS, et al. Avian influenza outbreaks in chickens, Bangladesh. Emerging Infectious Diseases. 2008;14(12):1909-1912. [VERIFY BEFORE SUBMISSION]</w:t>
      </w:r>
    </w:p>
    <w:p>
      <w:pPr>
        <w:spacing w:after="80" w:line="360" w:lineRule="exact"/>
        <w:ind w:left="567" w:hanging="567"/>
        <w:jc w:val="both"/>
      </w:pPr>
      <w:r>
        <w:rPr>
          <w:rFonts w:ascii="Times New Roman" w:hAnsi="Times New Roman"/>
          <w:sz w:val="22"/>
        </w:rPr>
        <w:t>[4] Loth L, Gilbert M, Osmani MG, Kalam AM, Xiao X. Risk factors and clusters of highly pathogenic avian influenza H5N1 outbreaks in Bangladesh. Preventive Veterinary Medicine. 2010;96(1-2):104-113. [VERIFY BEFORE SUBMISSION]</w:t>
      </w:r>
    </w:p>
    <w:p>
      <w:pPr>
        <w:spacing w:after="80" w:line="360" w:lineRule="exact"/>
        <w:ind w:left="567" w:hanging="567"/>
        <w:jc w:val="both"/>
      </w:pPr>
      <w:r>
        <w:rPr>
          <w:rFonts w:ascii="Times New Roman" w:hAnsi="Times New Roman"/>
          <w:sz w:val="22"/>
        </w:rPr>
        <w:t>[5] geoBoundaries. Bangladesh ADM1 administrative boundaries (2015 vintage), CC0 1.0. Runfola D, et al. geoBoundaries: A global database of political administrative boundaries. PLOS ONE. 2020;15(4):e0231866. Available at: https://www.geoboundaries.org</w:t>
      </w:r>
    </w:p>
    <w:p>
      <w:pPr>
        <w:spacing w:after="80" w:line="360" w:lineRule="exact"/>
        <w:ind w:left="567" w:hanging="567"/>
        <w:jc w:val="both"/>
      </w:pPr>
      <w:r>
        <w:rPr>
          <w:rFonts w:ascii="Times New Roman" w:hAnsi="Times New Roman"/>
          <w:sz w:val="22"/>
        </w:rPr>
        <w:t>[6] NASA Langley Research Center POWER Project. NASA POWER (Prediction of Worldwide Energy Resources) daily point API. Available at: https://power.larc.nasa.gov</w:t>
      </w:r>
    </w:p>
    <w:p>
      <w:pPr>
        <w:spacing w:after="80" w:line="360" w:lineRule="exact"/>
        <w:ind w:left="567" w:hanging="567"/>
        <w:jc w:val="both"/>
      </w:pPr>
      <w:r>
        <w:rPr>
          <w:rFonts w:ascii="Times New Roman" w:hAnsi="Times New Roman"/>
          <w:sz w:val="22"/>
        </w:rPr>
        <w:t>[7] Gilbert M, Nicolas G, Cinardi G, et al. Global distribution data for cattle, buffaloes, horses, sheep, goats, pigs, chickens and ducks in 2010 (Gridded Livestock of the World). Scientific Data. 2018;5:180227. GLW4 (2020, 10km) accessed via FAO catalog: https://data.apps.fao.org [VERIFY GLW4-specific citation before submission]</w:t>
      </w:r>
    </w:p>
    <w:p>
      <w:pPr>
        <w:spacing w:after="80" w:line="360" w:lineRule="exact"/>
        <w:ind w:left="567" w:hanging="567"/>
        <w:jc w:val="both"/>
      </w:pPr>
      <w:r>
        <w:rPr>
          <w:rFonts w:ascii="Times New Roman" w:hAnsi="Times New Roman"/>
          <w:sz w:val="22"/>
        </w:rPr>
        <w:t>[8] Mostafa A, Naguib MM, Nogales A, et al. Avian influenza A(H5N1) virus clade 2.3.4.4b spillover into mammals. [VERIFY EXACT SOURCE, AUTHORS, YEAR BEFORE SUBMISSION -- cited from memory as general background on mammalian spillover of clade 2.3.4.4b.]</w:t>
      </w:r>
    </w:p>
    <w:p>
      <w:pPr>
        <w:spacing w:after="80" w:line="360" w:lineRule="exact"/>
        <w:ind w:left="567" w:hanging="567"/>
        <w:jc w:val="both"/>
      </w:pPr>
      <w:r>
        <w:rPr>
          <w:rFonts w:ascii="Times New Roman" w:hAnsi="Times New Roman"/>
          <w:sz w:val="22"/>
        </w:rPr>
        <w:t>[9] Bangladesh Bureau of Statistics (BBS). Population and Housing Census 2022: National Report. Statistics and Informatics Division, Ministry of Planning, Bangladesh; 2023.</w:t>
      </w:r>
    </w:p>
    <w:p>
      <w:pPr>
        <w:spacing w:after="80" w:line="360" w:lineRule="exact"/>
        <w:ind w:left="567" w:hanging="567"/>
        <w:jc w:val="both"/>
      </w:pPr>
      <w:r>
        <w:rPr>
          <w:rFonts w:ascii="Times New Roman" w:hAnsi="Times New Roman"/>
          <w:sz w:val="22"/>
        </w:rPr>
        <w:t>[10] WOAH. World Animal Health Information System (WAHIS). Available at: https://wahis.woah.org. Accessed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