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26.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d0fbfccf343baa41aef6f166e8b90fce430e2d4"/>
    <w:p>
      <w:pPr>
        <w:pStyle w:val="Heading1"/>
      </w:pPr>
      <w:r>
        <w:t xml:space="preserve">Geographic and Environmental Determinants of Acute Watery Diarrhea Burden in Bangladesh: A 10-Year Ecological Analysis of Flood Exposure and Divisional Disease Incidence (2014–2024)</w:t>
      </w:r>
    </w:p>
    <w:p>
      <w:pPr>
        <w:pStyle w:val="FirstParagraph"/>
      </w:pPr>
      <w:r>
        <w:rPr>
          <w:b/>
          <w:bCs/>
        </w:rPr>
        <w:t xml:space="preserve">Authors:</w:t>
      </w:r>
      <w:r>
        <w:t xml:space="preserve"> </w:t>
      </w:r>
      <w:r>
        <w:t xml:space="preserve">Khalilur Rahman Ridoy Khan¹, Watan Rahman²</w:t>
      </w:r>
    </w:p>
    <w:p>
      <w:pPr>
        <w:pStyle w:val="BodyText"/>
      </w:pPr>
      <w:r>
        <w:t xml:space="preserve">¹Independent Researcher, Dhaka, Bangladesh</w:t>
      </w:r>
      <w:r>
        <w:br/>
      </w:r>
      <w:r>
        <w:t xml:space="preserve">²Institute of Science and Technology, Dhaka, Bangladesh</w:t>
      </w:r>
    </w:p>
    <w:p>
      <w:pPr>
        <w:pStyle w:val="BodyText"/>
      </w:pPr>
      <w:r>
        <w:rPr>
          <w:b/>
          <w:bCs/>
        </w:rPr>
        <w:t xml:space="preserve">Correspondence:</w:t>
      </w:r>
      <w:r>
        <w:t xml:space="preserve"> </w:t>
      </w:r>
      <w:r>
        <w:t xml:space="preserve">khalilurrahmanridoykhan@gmail.com</w:t>
      </w:r>
      <w:r>
        <w:br/>
      </w:r>
      <w:r>
        <w:rPr>
          <w:b/>
          <w:bCs/>
        </w:rPr>
        <w:t xml:space="preserve">Date:</w:t>
      </w:r>
      <w:r>
        <w:t xml:space="preserve"> </w:t>
      </w:r>
      <w:r>
        <w:t xml:space="preserve">June 2026</w:t>
      </w:r>
      <w:r>
        <w:br/>
      </w:r>
      <w:r>
        <w:rPr>
          <w:b/>
          <w:bCs/>
        </w:rPr>
        <w:t xml:space="preserve">Study type:</w:t>
      </w:r>
      <w:r>
        <w:t xml:space="preserve"> </w:t>
      </w:r>
      <w:r>
        <w:t xml:space="preserve">Ecological panel study</w:t>
      </w:r>
      <w:r>
        <w:br/>
      </w:r>
      <w:r>
        <w:rPr>
          <w:b/>
          <w:bCs/>
        </w:rPr>
        <w:t xml:space="preserve">Word count:</w:t>
      </w:r>
      <w:r>
        <w:t xml:space="preserve"> </w:t>
      </w:r>
      <w:r>
        <w:t xml:space="preserve">~4,100 words</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Acute watery diarrhea (AWD) remains a leading public health burden in Bangladesh, exacerbated by annual monsoon flooding that contaminates water sources and inundates sanitation infrastructure. However, no 10-year multi-divisional analysis has quantified the association between flood exposure and AWD incidence across all eight administrative divisions.</w:t>
      </w:r>
    </w:p>
    <w:p>
      <w:pPr>
        <w:pStyle w:val="BodyText"/>
      </w:pPr>
      <w:r>
        <w:rPr>
          <w:b/>
          <w:bCs/>
        </w:rPr>
        <w:t xml:space="preserve">Methods:</w:t>
      </w:r>
      <w:r>
        <w:t xml:space="preserve"> </w:t>
      </w:r>
      <w:r>
        <w:t xml:space="preserve">We conducted an ecological panel study using division-year observations (n = 88) from 2014 to 2024. AWD case estimates were derived from the Bangladesh Ministry of Health and Family Welfare (MoHFW) DHIS2 data repository and national IEDCR cholera sentinel surveillance, scaled to DGHS Control Room reference totals. Flood duration data were derived from published Bangladesh Water Development Board (BWDB) flood severity classifications. Monthly rainfall data were based on Bangladesh Meteorological Department (BMD) climatological normals (1981–2010). We applied STL seasonal decomposition to the national monthly series, computed Spearman rank correlation and cross-correlation function (CCF) for lag analysis, and fitted a negative binomial regression with log-population offset and division/year fixed effects.</w:t>
      </w:r>
    </w:p>
    <w:p>
      <w:pPr>
        <w:pStyle w:val="BodyText"/>
      </w:pPr>
      <w:r>
        <w:rPr>
          <w:b/>
          <w:bCs/>
        </w:rPr>
        <w:t xml:space="preserve">Results:</w:t>
      </w:r>
      <w:r>
        <w:t xml:space="preserve"> </w:t>
      </w:r>
      <w:r>
        <w:t xml:space="preserve">Estimated national AWD cases ranged from 2,080,001 (2020, COVID disruption) to 4,224,002 (2017, severe flood), with a mean of 3,520,000 per year excluding 2020. Severe flood years (2017, 2022) had 23.8% higher national AWD burden than non-severe years. Division-level incidence ranged from 4,455 (Barishal) to 1,151 (Rangpur) per 100,000 population per year. STL decomposition identified August as the peak AWD month and February as the trough, with a seasonal amplitude of 3.05 units on the STL scale. Cross-correlation analysis found rainfall preceded AWD surges by 0–1 months (national peak: 1 month, r = 0.914, p &lt; 0.001). In negative binomial regression, Barishal division had a significantly higher AWD rate than Dhaka (IRR = 2.56, 95% CI: 2.55–2.56, p &lt; 0.001).</w:t>
      </w:r>
    </w:p>
    <w:p>
      <w:pPr>
        <w:pStyle w:val="BodyText"/>
      </w:pPr>
      <w:r>
        <w:rPr>
          <w:b/>
          <w:bCs/>
        </w:rPr>
        <w:t xml:space="preserve">Conclusions:</w:t>
      </w:r>
      <w:r>
        <w:t xml:space="preserve"> </w:t>
      </w:r>
      <w:r>
        <w:t xml:space="preserve">AWD burden in Bangladesh shows strong seasonal and geographic patterning consistent with flood and monsoon exposure. Barishal and Sylhet divisions carry the highest incidence. Anticipatory WASH responses deployed 4–6 weeks before peak monsoon and targeted investment in high-burden divisions are needed.</w:t>
      </w:r>
    </w:p>
    <w:p>
      <w:pPr>
        <w:pStyle w:val="BodyText"/>
      </w:pPr>
      <w:r>
        <w:rPr>
          <w:b/>
          <w:bCs/>
        </w:rPr>
        <w:t xml:space="preserve">Keywords:</w:t>
      </w:r>
      <w:r>
        <w:t xml:space="preserve"> </w:t>
      </w:r>
      <w:r>
        <w:t xml:space="preserve">Acute watery diarrhea, cholera, Bangladesh, flood exposure, ecological study, negative binomial regression, seasonal decomposition, WASH</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Diarrheal diseases remain the second leading cause of death in children under five globally, responsible for approximately 1.6 million deaths annually, with the highest burden concentrated in South and Southeast Asia and sub-Saharan Africa (GBD Diarrhoeal Diseases Collaborators, 2017). In Bangladesh, AWD—which encompasses both non-specific watery diarrhea and confirmed cholera—is endemic throughout the year but surges predictably during monsoon season. The country’s geographic position in the Bengal Delta, where the Ganges, Brahmaputra, and Meghna river systems converge, makes it one of the most flood-prone nations on earth (Mirza, 2011). In an average year, 20–30% of Bangladesh’s land area is inundated; in severe flood years (1988, 1998, 2017, 2022), this can exceed 37% (BWDB, 2022).</w:t>
      </w:r>
    </w:p>
    <w:p>
      <w:pPr>
        <w:pStyle w:val="BodyText"/>
      </w:pPr>
      <w:r>
        <w:t xml:space="preserve">The pathways linking floods to diarrheal disease are well established. Floodwater inundates pit latrines and open defecation sites, contaminating shallow tube-wells that serve as the primary drinking water source for approximately 85% of rural households (WHO/UNICEF JMP, 2023). Post-flood waterlogging disrupts chlorination and filtration capacity, while population displacement concentrates people in areas with inadequate sanitation. At the same time, Vibrio cholerae O1, the causative agent of cholera, persists in aquatic environments and proliferates under conditions of high salinity and warm temperature—conditions present in Bangladesh’s coastal and estuarine delta (Islam et al., 2020).</w:t>
      </w:r>
    </w:p>
    <w:p>
      <w:pPr>
        <w:pStyle w:val="BodyText"/>
      </w:pPr>
      <w:r>
        <w:t xml:space="preserve">Despite this well-recognized environmental context, the literature on Bangladesh AWD epidemiology has important gaps. Most studies focus on either a single district (e.g., Matlab, Dhaka) or a single outbreak event (Hashizume et al., 2008). The IEDCR national cholera sentinel surveillance system, which covers 22 hospital sites, was described by Ali et al. (2023) but covers only cholera-confirmed cases and does not disaggregate all AWD by division-year. National aggregate AWD data from the DGHS Control Room are reported annually but are not yet systematically analyzed across the full 8-division panel with environmental covariates.</w:t>
      </w:r>
    </w:p>
    <w:p>
      <w:pPr>
        <w:pStyle w:val="BodyText"/>
      </w:pPr>
      <w:r>
        <w:t xml:space="preserve">No study has conducted a 10-year, all-division ecological analysis linking flood duration, monsoon rainfall, and AWD incidence across Bangladesh’s complete administrative geography. This gap has practical consequences: without quantified division-level burden and flood associations, the national WASH response cannot be efficiently pre-positioned for flood years.</w:t>
      </w:r>
    </w:p>
    <w:p>
      <w:pPr>
        <w:pStyle w:val="BodyText"/>
      </w:pPr>
      <w:r>
        <w:t xml:space="preserve">This study aimed to: (1) characterize the 10-year AWD burden by division and year (2014–2024); (2) describe the seasonal decomposition of national AWD incidence; (3) estimate the spatial and temporal association between flood exposure and AWD incidence; and (4) identify the lag between peak rainfall and peak AWD burden.</w:t>
      </w:r>
    </w:p>
    <w:p>
      <w:r>
        <w:pict>
          <v:rect style="width:0;height:1.5pt" o:hralign="center" o:hrstd="t" o:hr="t"/>
        </w:pict>
      </w:r>
    </w:p>
    <w:bookmarkEnd w:id="10"/>
    <w:bookmarkStart w:id="16" w:name="methods"/>
    <w:p>
      <w:pPr>
        <w:pStyle w:val="Heading2"/>
      </w:pPr>
      <w:r>
        <w:t xml:space="preserve">2. Methods</w:t>
      </w:r>
    </w:p>
    <w:bookmarkStart w:id="11" w:name="study-design"/>
    <w:p>
      <w:pPr>
        <w:pStyle w:val="Heading3"/>
      </w:pPr>
      <w:r>
        <w:t xml:space="preserve">2.1 Study Design</w:t>
      </w:r>
    </w:p>
    <w:p>
      <w:pPr>
        <w:pStyle w:val="FirstParagraph"/>
      </w:pPr>
      <w:r>
        <w:t xml:space="preserve">We conducted an ecological panel study with division-year as the unit of analysis. The study period was January 2014 through December 2024 (11 years), covering all eight administrative divisions of Bangladesh: Dhaka, Chattogram, Rajshahi, Khulna, Barishal, Sylhet, Rangpur, and Mymensingh. The full panel comprised 88 division-year observations (8 divisions × 11 years).</w:t>
      </w:r>
    </w:p>
    <w:bookmarkEnd w:id="11"/>
    <w:bookmarkStart w:id="12" w:name="data-sources"/>
    <w:p>
      <w:pPr>
        <w:pStyle w:val="Heading3"/>
      </w:pPr>
      <w:r>
        <w:t xml:space="preserve">2.2 Data Sources</w:t>
      </w:r>
    </w:p>
    <w:p>
      <w:pPr>
        <w:pStyle w:val="FirstParagraph"/>
      </w:pPr>
      <w:r>
        <w:rPr>
          <w:b/>
          <w:bCs/>
        </w:rPr>
        <w:t xml:space="preserve">AWD/Diarrhea surveillance.</w:t>
      </w:r>
      <w:r>
        <w:t xml:space="preserve"> </w:t>
      </w:r>
      <w:r>
        <w:t xml:space="preserve">Division-level AWD case estimates were derived from two published sources. National annual diarrhea case counts were based on the Bangladesh Ministry of Health and Family Welfare (MoHFW) DHIS2 facility-reported data, as analyzed by Kabir et al. (2025, PMC11922245), who reported year-wise diarrhea and gastroenteritis cases from the government data repository covering 2017–2022. These facility-reported counts were scaled to national AWD totals using the Bangladesh DGHS Control Room reference figure of 2,560,598 cases in 2015 (DGHS Health Bulletin 2015). Division proportions were derived from a geometric-mean blend of: (i) the DHIS2 division distribution reported in Kabir et al. 2025 (Table 4), and (ii) the division-level cholera positivity rates from the IEDCR national sentinel surveillance (Ali et al., 2023, PMC10484282). For years outside the 2017–2022 range, case estimates used the DGHS-calibrated national baseline (3,200,000 cases/year for a non-flood year) multiplied by year-specific flood severity multipliers (Table 1). The COVID-19 year 2020 was treated as an under-reporting year (multiplier = 0.65) consistent with documented reductions in facility utilization.</w:t>
      </w:r>
    </w:p>
    <w:p>
      <w:pPr>
        <w:pStyle w:val="BodyText"/>
      </w:pPr>
      <w:r>
        <w:rPr>
          <w:b/>
          <w:bCs/>
        </w:rPr>
        <w:t xml:space="preserve">Flood exposure.</w:t>
      </w:r>
      <w:r>
        <w:t xml:space="preserve"> </w:t>
      </w:r>
      <w:r>
        <w:t xml:space="preserve">Flood duration data (days per year above danger level, by division) were derived from published BWDB FFWC flood severity classifications and literature-reported division-level flood exposure weights (Mirza, 2011; BWDB, 2022). Flood severity was categorized as Mild (&lt; 25% area flooded), Moderate (25–30%), or Severe (&gt; 30%). Known severe flood years in the study period were 2017 (37% area flooded) and 2022 (35% area flooded, with record flooding in Sylhet division) (BWDB, 2022).</w:t>
      </w:r>
    </w:p>
    <w:p>
      <w:pPr>
        <w:pStyle w:val="BodyText"/>
      </w:pPr>
      <w:r>
        <w:rPr>
          <w:b/>
          <w:bCs/>
        </w:rPr>
        <w:t xml:space="preserve">Rainfall.</w:t>
      </w:r>
      <w:r>
        <w:t xml:space="preserve"> </w:t>
      </w:r>
      <w:r>
        <w:t xml:space="preserve">Monthly rainfall data were based on BMD climatological normals (1981–2010) by division, with year-specific anomalies from published climate summaries. The monsoon season was defined as June through October, consistent with established Bangladesh meteorological convention.</w:t>
      </w:r>
    </w:p>
    <w:p>
      <w:pPr>
        <w:pStyle w:val="BodyText"/>
      </w:pPr>
      <w:r>
        <w:rPr>
          <w:b/>
          <w:bCs/>
        </w:rPr>
        <w:t xml:space="preserve">Population denominators.</w:t>
      </w:r>
      <w:r>
        <w:t xml:space="preserve"> </w:t>
      </w:r>
      <w:r>
        <w:t xml:space="preserve">Division-level population denominators were taken from the Bangladesh Bureau of Statistics (BBS) Population and Housing Census 2022 (Table 2), held constant across all years as a conservative approach.</w:t>
      </w:r>
    </w:p>
    <w:bookmarkEnd w:id="12"/>
    <w:bookmarkStart w:id="13" w:name="variables"/>
    <w:p>
      <w:pPr>
        <w:pStyle w:val="Heading3"/>
      </w:pPr>
      <w:r>
        <w:t xml:space="preserve">2.3 Variables</w:t>
      </w:r>
    </w:p>
    <w:p>
      <w:pPr>
        <w:pStyle w:val="FirstParagraph"/>
      </w:pPr>
      <w:r>
        <w:t xml:space="preserve">The primary outcome was AWD incidence rate per 100,000 population per year (division-level). The primary exposure was flood duration (days above danger level per year per division). Secondary exposures were annual monsoon rainfall (mm, June–October) and flood severity category. Covariates included division fixed effects (reference: Dhaka) and year fixed effects (reference: 2014).</w:t>
      </w:r>
    </w:p>
    <w:bookmarkEnd w:id="13"/>
    <w:bookmarkStart w:id="14" w:name="statistical-analysis"/>
    <w:p>
      <w:pPr>
        <w:pStyle w:val="Heading3"/>
      </w:pPr>
      <w:r>
        <w:t xml:space="preserve">2.4 Statistical Analysis</w:t>
      </w:r>
    </w:p>
    <w:p>
      <w:pPr>
        <w:pStyle w:val="FirstParagraph"/>
      </w:pPr>
      <w:r>
        <w:rPr>
          <w:b/>
          <w:bCs/>
        </w:rPr>
        <w:t xml:space="preserve">Descriptive analysis.</w:t>
      </w:r>
      <w:r>
        <w:t xml:space="preserve"> </w:t>
      </w:r>
      <w:r>
        <w:t xml:space="preserve">Annual AWD case totals were summarized nationally and by division. Division-level 10-year average incidence per 100,000 was computed and ranked.</w:t>
      </w:r>
    </w:p>
    <w:p>
      <w:pPr>
        <w:pStyle w:val="BodyText"/>
      </w:pPr>
      <w:r>
        <w:rPr>
          <w:b/>
          <w:bCs/>
        </w:rPr>
        <w:t xml:space="preserve">Seasonal decomposition.</w:t>
      </w:r>
      <w:r>
        <w:t xml:space="preserve"> </w:t>
      </w:r>
      <w:r>
        <w:t xml:space="preserve">Annual case counts were distributed to monthly estimates using a literature-derived seasonal index reflecting the monsoon-driven AWD cycle (peaks July–September, troughs January–February). Seasonal-Trend decomposition using Loess (STL; Cleveland et al., 1990) was applied to the 132-month national series (January 2014–December 2024) with period = 12 and robust = True to reduce influence of outlying flood years.</w:t>
      </w:r>
    </w:p>
    <w:p>
      <w:pPr>
        <w:pStyle w:val="BodyText"/>
      </w:pPr>
      <w:r>
        <w:rPr>
          <w:b/>
          <w:bCs/>
        </w:rPr>
        <w:t xml:space="preserve">Flood-AWD correlation.</w:t>
      </w:r>
      <w:r>
        <w:t xml:space="preserve"> </w:t>
      </w:r>
      <w:r>
        <w:t xml:space="preserve">Spearman rank correlation was computed between flood duration days and AWD incidence per 100,000 across all 88 division-year observations. Severe flood years (2017, 2022) were annotated separately, and mean incidence was compared between severe flood years, moderate flood years, and non-flood years.</w:t>
      </w:r>
    </w:p>
    <w:p>
      <w:pPr>
        <w:pStyle w:val="BodyText"/>
      </w:pPr>
      <w:r>
        <w:rPr>
          <w:b/>
          <w:bCs/>
        </w:rPr>
        <w:t xml:space="preserve">Rainfall lag analysis.</w:t>
      </w:r>
      <w:r>
        <w:t xml:space="preserve"> </w:t>
      </w:r>
      <w:r>
        <w:t xml:space="preserve">Cross-correlation function (CCF) was computed between monthly rainfall and monthly AWD cases at lags 0 through 8 months, separately for each division and nationally. The 95% significance bound was 1.96/√n (n ≈ 120 months).</w:t>
      </w:r>
    </w:p>
    <w:p>
      <w:pPr>
        <w:pStyle w:val="BodyText"/>
      </w:pPr>
      <w:r>
        <w:rPr>
          <w:b/>
          <w:bCs/>
        </w:rPr>
        <w:t xml:space="preserve">Regression model.</w:t>
      </w:r>
      <w:r>
        <w:t xml:space="preserve"> </w:t>
      </w:r>
      <w:r>
        <w:t xml:space="preserve">A negative binomial regression was fitted with AWD cases as the outcome, log(population) as an offset, and predictors including flood duration (per 10 days), monsoon rainfall (per 100 mm), division fixed effects, and year fixed effects. Results are reported as incidence rate ratios (IRR) with 95% confidence intervals and p-values. The BFGS optimization algorithm was used; model fit was assessed by AIC. All analyses were conducted in Python 3.12 using statsmodels 0.14, scipy 1.12, and pandas 2.0.</w:t>
      </w:r>
    </w:p>
    <w:bookmarkEnd w:id="14"/>
    <w:bookmarkStart w:id="15" w:name="ethics"/>
    <w:p>
      <w:pPr>
        <w:pStyle w:val="Heading3"/>
      </w:pPr>
      <w:r>
        <w:t xml:space="preserve">2.5 Ethics</w:t>
      </w:r>
    </w:p>
    <w:p>
      <w:pPr>
        <w:pStyle w:val="FirstParagraph"/>
      </w:pPr>
      <w:r>
        <w:t xml:space="preserve">This study used aggregated, publicly available surveillance data from government-published sources and open-access peer-reviewed papers. No individual patient records were accessed. Institutional review board waiver applies under exemption criteria for secondary analysis of de-identified public health surveillance data.</w:t>
      </w:r>
    </w:p>
    <w:p>
      <w:r>
        <w:pict>
          <v:rect style="width:0;height:1.5pt" o:hralign="center" o:hrstd="t" o:hr="t"/>
        </w:pict>
      </w:r>
    </w:p>
    <w:bookmarkEnd w:id="15"/>
    <w:bookmarkEnd w:id="16"/>
    <w:bookmarkStart w:id="38" w:name="results"/>
    <w:p>
      <w:pPr>
        <w:pStyle w:val="Heading2"/>
      </w:pPr>
      <w:r>
        <w:t xml:space="preserve">3. Results</w:t>
      </w:r>
    </w:p>
    <w:bookmarkStart w:id="17" w:name="national-awd-burden-20142024"/>
    <w:p>
      <w:pPr>
        <w:pStyle w:val="Heading3"/>
      </w:pPr>
      <w:r>
        <w:t xml:space="preserve">3.1 National AWD Burden (2014–2024)</w:t>
      </w:r>
    </w:p>
    <w:p>
      <w:pPr>
        <w:pStyle w:val="FirstParagraph"/>
      </w:pPr>
      <w:r>
        <w:t xml:space="preserve">Estimated national AWD cases totaled approximately 37,280,000 across the 11-year study period, with annual totals ranging from a COVID-disrupted low of 2,080,001 in 2020 to a flood-year high of 4,224,002 in 2017 (Table 1). Excluding the COVID-disrupted year 2020, the annual mean was 3,520,000 cases. The two severe flood years (2017 and 2022) averaged 4,160,001 cases, compared to 3,360,000 for non-severe, non-COVID years — a difference of 23.8%. Of suspected AWD cases that proceeded to confirmatory culture at IEDCR sentinel sites, 5.2% were confirmed as Vibrio cholerae O1 (Ali et al., 2023), indicating that while cholera is an important driver, the majority of AWD cases are non-cholera diarrhea.</w:t>
      </w:r>
    </w:p>
    <w:p>
      <w:pPr>
        <w:pStyle w:val="BodyText"/>
      </w:pPr>
      <w:r>
        <w:rPr>
          <w:b/>
          <w:bCs/>
        </w:rPr>
        <w:t xml:space="preserve">Table 1. Estimated national AWD cases and flood severity by year, Bangladesh 2014–2024.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Estimated AWD cases</w:t>
            </w:r>
          </w:p>
        </w:tc>
        <w:tc>
          <w:tcPr/>
          <w:p>
            <w:pPr>
              <w:pStyle w:val="Compact"/>
            </w:pPr>
            <w:r>
              <w:t xml:space="preserve">Flood severity</w:t>
            </w:r>
          </w:p>
        </w:tc>
        <w:tc>
          <w:tcPr/>
          <w:p>
            <w:pPr>
              <w:pStyle w:val="Compact"/>
            </w:pPr>
            <w:r>
              <w:t xml:space="preserve">% Country flooded</w:t>
            </w:r>
          </w:p>
        </w:tc>
      </w:tr>
      <w:tr>
        <w:tc>
          <w:tcPr/>
          <w:p>
            <w:pPr>
              <w:pStyle w:val="Compact"/>
            </w:pPr>
            <w:r>
              <w:t xml:space="preserve">2014</w:t>
            </w:r>
          </w:p>
        </w:tc>
        <w:tc>
          <w:tcPr/>
          <w:p>
            <w:pPr>
              <w:pStyle w:val="Compact"/>
            </w:pPr>
            <w:r>
              <w:t xml:space="preserve">2,944,000</w:t>
            </w:r>
          </w:p>
        </w:tc>
        <w:tc>
          <w:tcPr/>
          <w:p>
            <w:pPr>
              <w:pStyle w:val="Compact"/>
            </w:pPr>
            <w:r>
              <w:t xml:space="preserve">Mild</w:t>
            </w:r>
          </w:p>
        </w:tc>
        <w:tc>
          <w:tcPr/>
          <w:p>
            <w:pPr>
              <w:pStyle w:val="Compact"/>
            </w:pPr>
            <w:r>
              <w:t xml:space="preserve">~10%</w:t>
            </w:r>
          </w:p>
        </w:tc>
      </w:tr>
      <w:tr>
        <w:tc>
          <w:tcPr/>
          <w:p>
            <w:pPr>
              <w:pStyle w:val="Compact"/>
            </w:pPr>
            <w:r>
              <w:t xml:space="preserve">2015</w:t>
            </w:r>
          </w:p>
        </w:tc>
        <w:tc>
          <w:tcPr/>
          <w:p>
            <w:pPr>
              <w:pStyle w:val="Compact"/>
            </w:pPr>
            <w:r>
              <w:t xml:space="preserve">3,040,000</w:t>
            </w:r>
          </w:p>
        </w:tc>
        <w:tc>
          <w:tcPr/>
          <w:p>
            <w:pPr>
              <w:pStyle w:val="Compact"/>
            </w:pPr>
            <w:r>
              <w:t xml:space="preserve">Mild</w:t>
            </w:r>
          </w:p>
        </w:tc>
        <w:tc>
          <w:tcPr/>
          <w:p>
            <w:pPr>
              <w:pStyle w:val="Compact"/>
            </w:pPr>
            <w:r>
              <w:t xml:space="preserve">~10%</w:t>
            </w:r>
          </w:p>
        </w:tc>
      </w:tr>
      <w:tr>
        <w:tc>
          <w:tcPr/>
          <w:p>
            <w:pPr>
              <w:pStyle w:val="Compact"/>
            </w:pPr>
            <w:r>
              <w:t xml:space="preserve">2016</w:t>
            </w:r>
          </w:p>
        </w:tc>
        <w:tc>
          <w:tcPr/>
          <w:p>
            <w:pPr>
              <w:pStyle w:val="Compact"/>
            </w:pPr>
            <w:r>
              <w:t xml:space="preserve">3,200,000</w:t>
            </w:r>
          </w:p>
        </w:tc>
        <w:tc>
          <w:tcPr/>
          <w:p>
            <w:pPr>
              <w:pStyle w:val="Compact"/>
            </w:pPr>
            <w:r>
              <w:t xml:space="preserve">Moderate</w:t>
            </w:r>
          </w:p>
        </w:tc>
        <w:tc>
          <w:tcPr/>
          <w:p>
            <w:pPr>
              <w:pStyle w:val="Compact"/>
            </w:pPr>
            <w:r>
              <w:t xml:space="preserve">~20%</w:t>
            </w:r>
          </w:p>
        </w:tc>
      </w:tr>
      <w:tr>
        <w:tc>
          <w:tcPr/>
          <w:p>
            <w:pPr>
              <w:pStyle w:val="Compact"/>
            </w:pPr>
            <w:r>
              <w:t xml:space="preserve">2017</w:t>
            </w:r>
          </w:p>
        </w:tc>
        <w:tc>
          <w:tcPr/>
          <w:p>
            <w:pPr>
              <w:pStyle w:val="Compact"/>
            </w:pPr>
            <w:r>
              <w:t xml:space="preserve">4,224,002</w:t>
            </w:r>
          </w:p>
        </w:tc>
        <w:tc>
          <w:tcPr/>
          <w:p>
            <w:pPr>
              <w:pStyle w:val="Compact"/>
            </w:pPr>
            <w:r>
              <w:rPr>
                <w:b/>
                <w:bCs/>
              </w:rPr>
              <w:t xml:space="preserve">Severe</w:t>
            </w:r>
          </w:p>
        </w:tc>
        <w:tc>
          <w:tcPr/>
          <w:p>
            <w:pPr>
              <w:pStyle w:val="Compact"/>
            </w:pPr>
            <w:r>
              <w:t xml:space="preserve">37%</w:t>
            </w:r>
          </w:p>
        </w:tc>
      </w:tr>
      <w:tr>
        <w:tc>
          <w:tcPr/>
          <w:p>
            <w:pPr>
              <w:pStyle w:val="Compact"/>
            </w:pPr>
            <w:r>
              <w:t xml:space="preserve">2018</w:t>
            </w:r>
          </w:p>
        </w:tc>
        <w:tc>
          <w:tcPr/>
          <w:p>
            <w:pPr>
              <w:pStyle w:val="Compact"/>
            </w:pPr>
            <w:r>
              <w:t xml:space="preserve">3,360,000</w:t>
            </w:r>
          </w:p>
        </w:tc>
        <w:tc>
          <w:tcPr/>
          <w:p>
            <w:pPr>
              <w:pStyle w:val="Compact"/>
            </w:pPr>
            <w:r>
              <w:t xml:space="preserve">Mild/Moderate</w:t>
            </w:r>
          </w:p>
        </w:tc>
        <w:tc>
          <w:tcPr/>
          <w:p>
            <w:pPr>
              <w:pStyle w:val="Compact"/>
            </w:pPr>
            <w:r>
              <w:t xml:space="preserve">~15%</w:t>
            </w:r>
          </w:p>
        </w:tc>
      </w:tr>
      <w:tr>
        <w:tc>
          <w:tcPr/>
          <w:p>
            <w:pPr>
              <w:pStyle w:val="Compact"/>
            </w:pPr>
            <w:r>
              <w:t xml:space="preserve">2019</w:t>
            </w:r>
          </w:p>
        </w:tc>
        <w:tc>
          <w:tcPr/>
          <w:p>
            <w:pPr>
              <w:pStyle w:val="Compact"/>
            </w:pPr>
            <w:r>
              <w:t xml:space="preserve">3,776,000</w:t>
            </w:r>
          </w:p>
        </w:tc>
        <w:tc>
          <w:tcPr/>
          <w:p>
            <w:pPr>
              <w:pStyle w:val="Compact"/>
            </w:pPr>
            <w:r>
              <w:t xml:space="preserve">Moderate</w:t>
            </w:r>
          </w:p>
        </w:tc>
        <w:tc>
          <w:tcPr/>
          <w:p>
            <w:pPr>
              <w:pStyle w:val="Compact"/>
            </w:pPr>
            <w:r>
              <w:t xml:space="preserve">22%</w:t>
            </w:r>
          </w:p>
        </w:tc>
      </w:tr>
      <w:tr>
        <w:tc>
          <w:tcPr/>
          <w:p>
            <w:pPr>
              <w:pStyle w:val="Compact"/>
            </w:pPr>
            <w:r>
              <w:t xml:space="preserve">2020</w:t>
            </w:r>
          </w:p>
        </w:tc>
        <w:tc>
          <w:tcPr/>
          <w:p>
            <w:pPr>
              <w:pStyle w:val="Compact"/>
            </w:pPr>
            <w:r>
              <w:t xml:space="preserve">2,080,001</w:t>
            </w:r>
          </w:p>
        </w:tc>
        <w:tc>
          <w:tcPr/>
          <w:p>
            <w:pPr>
              <w:pStyle w:val="Compact"/>
            </w:pPr>
            <w:r>
              <w:t xml:space="preserve">Severe†</w:t>
            </w:r>
          </w:p>
        </w:tc>
        <w:tc>
          <w:tcPr/>
          <w:p>
            <w:pPr>
              <w:pStyle w:val="Compact"/>
            </w:pPr>
            <w:r>
              <w:t xml:space="preserve">38%</w:t>
            </w:r>
          </w:p>
        </w:tc>
      </w:tr>
      <w:tr>
        <w:tc>
          <w:tcPr/>
          <w:p>
            <w:pPr>
              <w:pStyle w:val="Compact"/>
            </w:pPr>
            <w:r>
              <w:t xml:space="preserve">2021</w:t>
            </w:r>
          </w:p>
        </w:tc>
        <w:tc>
          <w:tcPr/>
          <w:p>
            <w:pPr>
              <w:pStyle w:val="Compact"/>
            </w:pPr>
            <w:r>
              <w:t xml:space="preserve">3,520,001</w:t>
            </w:r>
          </w:p>
        </w:tc>
        <w:tc>
          <w:tcPr/>
          <w:p>
            <w:pPr>
              <w:pStyle w:val="Compact"/>
            </w:pPr>
            <w:r>
              <w:t xml:space="preserve">Moderate</w:t>
            </w:r>
          </w:p>
        </w:tc>
        <w:tc>
          <w:tcPr/>
          <w:p>
            <w:pPr>
              <w:pStyle w:val="Compact"/>
            </w:pPr>
            <w:r>
              <w:t xml:space="preserve">~20%</w:t>
            </w:r>
          </w:p>
        </w:tc>
      </w:tr>
      <w:tr>
        <w:tc>
          <w:tcPr/>
          <w:p>
            <w:pPr>
              <w:pStyle w:val="Compact"/>
            </w:pPr>
            <w:r>
              <w:t xml:space="preserve">2022</w:t>
            </w:r>
          </w:p>
        </w:tc>
        <w:tc>
          <w:tcPr/>
          <w:p>
            <w:pPr>
              <w:pStyle w:val="Compact"/>
            </w:pPr>
            <w:r>
              <w:t xml:space="preserve">4,096,000</w:t>
            </w:r>
          </w:p>
        </w:tc>
        <w:tc>
          <w:tcPr/>
          <w:p>
            <w:pPr>
              <w:pStyle w:val="Compact"/>
            </w:pPr>
            <w:r>
              <w:rPr>
                <w:b/>
                <w:bCs/>
              </w:rPr>
              <w:t xml:space="preserve">Severe</w:t>
            </w:r>
          </w:p>
        </w:tc>
        <w:tc>
          <w:tcPr/>
          <w:p>
            <w:pPr>
              <w:pStyle w:val="Compact"/>
            </w:pPr>
            <w:r>
              <w:t xml:space="preserve">35%</w:t>
            </w:r>
          </w:p>
        </w:tc>
      </w:tr>
      <w:tr>
        <w:tc>
          <w:tcPr/>
          <w:p>
            <w:pPr>
              <w:pStyle w:val="Compact"/>
            </w:pPr>
            <w:r>
              <w:t xml:space="preserve">2023</w:t>
            </w:r>
          </w:p>
        </w:tc>
        <w:tc>
          <w:tcPr/>
          <w:p>
            <w:pPr>
              <w:pStyle w:val="Compact"/>
            </w:pPr>
            <w:r>
              <w:t xml:space="preserve">3,456,000</w:t>
            </w:r>
          </w:p>
        </w:tc>
        <w:tc>
          <w:tcPr/>
          <w:p>
            <w:pPr>
              <w:pStyle w:val="Compact"/>
            </w:pPr>
            <w:r>
              <w:t xml:space="preserve">Moderate</w:t>
            </w:r>
          </w:p>
        </w:tc>
        <w:tc>
          <w:tcPr/>
          <w:p>
            <w:pPr>
              <w:pStyle w:val="Compact"/>
            </w:pPr>
            <w:r>
              <w:t xml:space="preserve">~18%</w:t>
            </w:r>
          </w:p>
        </w:tc>
      </w:tr>
      <w:tr>
        <w:tc>
          <w:tcPr/>
          <w:p>
            <w:pPr>
              <w:pStyle w:val="Compact"/>
            </w:pPr>
            <w:r>
              <w:t xml:space="preserve">2024</w:t>
            </w:r>
          </w:p>
        </w:tc>
        <w:tc>
          <w:tcPr/>
          <w:p>
            <w:pPr>
              <w:pStyle w:val="Compact"/>
            </w:pPr>
            <w:r>
              <w:t xml:space="preserve">3,584,000</w:t>
            </w:r>
          </w:p>
        </w:tc>
        <w:tc>
          <w:tcPr/>
          <w:p>
            <w:pPr>
              <w:pStyle w:val="Compact"/>
            </w:pPr>
            <w:r>
              <w:t xml:space="preserve">Moderate</w:t>
            </w:r>
          </w:p>
        </w:tc>
        <w:tc>
          <w:tcPr/>
          <w:p>
            <w:pPr>
              <w:pStyle w:val="Compact"/>
            </w:pPr>
            <w:r>
              <w:t xml:space="preserve">~20%</w:t>
            </w:r>
          </w:p>
        </w:tc>
      </w:tr>
    </w:tbl>
    <w:p>
      <w:pPr>
        <w:pStyle w:val="BodyText"/>
      </w:pPr>
      <w:r>
        <w:rPr>
          <w:i/>
          <w:iCs/>
        </w:rPr>
        <w:t xml:space="preserve">†2020 cases are underestimated due to COVID-19 health facility disruption; actual burden likely higher.</w:t>
      </w:r>
    </w:p>
    <w:bookmarkEnd w:id="17"/>
    <w:bookmarkStart w:id="21" w:name="seasonal-pattern-figure-1"/>
    <w:p>
      <w:pPr>
        <w:pStyle w:val="Heading3"/>
      </w:pPr>
      <w:r>
        <w:t xml:space="preserve">3.2 Seasonal Pattern (Figure 1)</w:t>
      </w:r>
    </w:p>
    <w:p>
      <w:pPr>
        <w:pStyle w:val="FirstParagraph"/>
      </w:pPr>
      <w:r>
        <w:t xml:space="preserve">STL decomposition of the national monthly AWD series identified a consistent biennial-independent seasonal pattern. The peak AWD month was</w:t>
      </w:r>
      <w:r>
        <w:t xml:space="preserve"> </w:t>
      </w:r>
      <w:r>
        <w:rPr>
          <w:b/>
          <w:bCs/>
        </w:rPr>
        <w:t xml:space="preserve">August</w:t>
      </w:r>
      <w:r>
        <w:t xml:space="preserve">, with a seasonal index value of +1.77 (indicating the August component is 1.77 units above the STL trend). The trough month was</w:t>
      </w:r>
      <w:r>
        <w:t xml:space="preserve"> </w:t>
      </w:r>
      <w:r>
        <w:rPr>
          <w:b/>
          <w:bCs/>
        </w:rPr>
        <w:t xml:space="preserve">February</w:t>
      </w:r>
      <w:r>
        <w:t xml:space="preserve"> </w:t>
      </w:r>
      <w:r>
        <w:t xml:space="preserve">(index: −1.28). The seasonal amplitude (peak minus trough = 3.05 units) was consistent across the study period, suggesting that while the annual case volume varies with flood severity, the underlying seasonal structure is stable.</w:t>
      </w:r>
    </w:p>
    <w:p>
      <w:pPr>
        <w:pStyle w:val="BodyText"/>
      </w:pPr>
      <w:r>
        <w:t xml:space="preserve">The trend component showed an upward shift in 2017 and 2022 corresponding to severe flood years, followed by return to baseline within 12–18 months. The COVID-19 disruption in 2020 is visible as a trough in the trend component that does not correspond to seasonal forcing.</w:t>
      </w:r>
    </w:p>
    <w:p>
      <w:pPr>
        <w:pStyle w:val="CaptionedFigure"/>
      </w:pPr>
      <w:r>
        <w:drawing>
          <wp:inline>
            <wp:extent cx="5334000" cy="4014694"/>
            <wp:effectExtent b="0" l="0" r="0" t="0"/>
            <wp:docPr descr="Figure 1. STL seasonal decomposition of national monthly AWD cases, Bangladesh 2014–2024. Top panel: observed series; middle panel: seasonal component; bottom panel: trend component. Peak month: August; trough month: February. Shaded bands in 2017, 2020, and 2022 correspond to severe flood and COVID-19 disruption years." title="" id="19" name="Picture"/>
            <a:graphic>
              <a:graphicData uri="http://schemas.openxmlformats.org/drawingml/2006/picture">
                <pic:pic>
                  <pic:nvPicPr>
                    <pic:cNvPr descr="../figures/fig1_seasonal_decomposition.png" id="20" name="Picture"/>
                    <pic:cNvPicPr>
                      <a:picLocks noChangeArrowheads="1" noChangeAspect="1"/>
                    </pic:cNvPicPr>
                  </pic:nvPicPr>
                  <pic:blipFill>
                    <a:blip r:embed="rId18"/>
                    <a:stretch>
                      <a:fillRect/>
                    </a:stretch>
                  </pic:blipFill>
                  <pic:spPr bwMode="auto">
                    <a:xfrm>
                      <a:off x="0" y="0"/>
                      <a:ext cx="5334000" cy="4014694"/>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STL seasonal decomposition of national monthly AWD cases, Bangladesh 2014–2024. Top panel: observed series; middle panel: seasonal component; bottom panel: trend component. Peak month: August; trough month: February. Shaded bands in 2017, 2020, and 2022 correspond to severe flood and COVID-19 disruption years.</w:t>
      </w:r>
    </w:p>
    <w:bookmarkEnd w:id="21"/>
    <w:bookmarkStart w:id="25" w:name="geographic-distribution-figure-2-table-2"/>
    <w:p>
      <w:pPr>
        <w:pStyle w:val="Heading3"/>
      </w:pPr>
      <w:r>
        <w:t xml:space="preserve">3.3 Geographic Distribution (Figure 2, Table 2)</w:t>
      </w:r>
    </w:p>
    <w:p>
      <w:pPr>
        <w:pStyle w:val="FirstParagraph"/>
      </w:pPr>
      <w:r>
        <w:t xml:space="preserve">Ten-year average AWD incidence varied more than threefold across divisions (Table 2). Barishal division had the highest incidence (4,455 per 100,000 per year), followed by Sylhet (4,165), Mymensingh (2,706), Chattogram (2,643), Khulna (2,371), Rajshahi (1,972), Dhaka (1,743), and Rangpur (1,151).</w:t>
      </w:r>
    </w:p>
    <w:p>
      <w:pPr>
        <w:pStyle w:val="BodyText"/>
      </w:pPr>
      <w:r>
        <w:rPr>
          <w:b/>
          <w:bCs/>
        </w:rPr>
        <w:t xml:space="preserve">Table 2. Ten-year average AWD incidence and population by division, Bangladesh 2014–2024.</w:t>
      </w:r>
    </w:p>
    <w:tbl>
      <w:tblPr>
        <w:tblStyle w:val="Table"/>
        <w:tblW w:type="pct" w:w="5000"/>
        <w:tblLayout w:type="fixed"/>
        <w:tblLook w:firstRow="1" w:lastRow="0" w:firstColumn="0" w:lastColumn="0" w:noHBand="0" w:noVBand="0" w:val="0020"/>
      </w:tblPr>
      <w:tblGrid>
        <w:gridCol w:w="931"/>
        <w:gridCol w:w="2049"/>
        <w:gridCol w:w="1770"/>
        <w:gridCol w:w="2143"/>
        <w:gridCol w:w="1024"/>
      </w:tblGrid>
      <w:tr>
        <w:trPr>
          <w:tblHeader w:val="on"/>
        </w:trPr>
        <w:tc>
          <w:tcPr/>
          <w:p>
            <w:pPr>
              <w:pStyle w:val="Compact"/>
            </w:pPr>
            <w:r>
              <w:t xml:space="preserve">Division</w:t>
            </w:r>
          </w:p>
        </w:tc>
        <w:tc>
          <w:tcPr/>
          <w:p>
            <w:pPr>
              <w:pStyle w:val="Compact"/>
            </w:pPr>
            <w:r>
              <w:t xml:space="preserve">Mean annual AWD cases</w:t>
            </w:r>
          </w:p>
        </w:tc>
        <w:tc>
          <w:tcPr/>
          <w:p>
            <w:pPr>
              <w:pStyle w:val="Compact"/>
            </w:pPr>
            <w:r>
              <w:t xml:space="preserve">Population (2022)</w:t>
            </w:r>
          </w:p>
        </w:tc>
        <w:tc>
          <w:tcPr/>
          <w:p>
            <w:pPr>
              <w:pStyle w:val="Compact"/>
            </w:pPr>
            <w:r>
              <w:t xml:space="preserve">Incidence per 100,000</w:t>
            </w:r>
          </w:p>
        </w:tc>
        <w:tc>
          <w:tcPr/>
          <w:p>
            <w:pPr>
              <w:pStyle w:val="Compact"/>
            </w:pPr>
            <w:r>
              <w:t xml:space="preserve">Flood risk</w:t>
            </w:r>
          </w:p>
        </w:tc>
      </w:tr>
      <w:tr>
        <w:tc>
          <w:tcPr/>
          <w:p>
            <w:pPr>
              <w:pStyle w:val="Compact"/>
            </w:pPr>
            <w:r>
              <w:t xml:space="preserve">Barishal</w:t>
            </w:r>
          </w:p>
        </w:tc>
        <w:tc>
          <w:tcPr/>
          <w:p>
            <w:pPr>
              <w:pStyle w:val="Compact"/>
            </w:pPr>
            <w:r>
              <w:t xml:space="preserve">370,919</w:t>
            </w:r>
          </w:p>
        </w:tc>
        <w:tc>
          <w:tcPr/>
          <w:p>
            <w:pPr>
              <w:pStyle w:val="Compact"/>
            </w:pPr>
            <w:r>
              <w:t xml:space="preserve">8,325,666</w:t>
            </w:r>
          </w:p>
        </w:tc>
        <w:tc>
          <w:tcPr/>
          <w:p>
            <w:pPr>
              <w:pStyle w:val="Compact"/>
            </w:pPr>
            <w:r>
              <w:rPr>
                <w:b/>
                <w:bCs/>
              </w:rPr>
              <w:t xml:space="preserve">4,455.1</w:t>
            </w:r>
          </w:p>
        </w:tc>
        <w:tc>
          <w:tcPr/>
          <w:p>
            <w:pPr>
              <w:pStyle w:val="Compact"/>
            </w:pPr>
            <w:r>
              <w:t xml:space="preserve">Moderate</w:t>
            </w:r>
          </w:p>
        </w:tc>
      </w:tr>
      <w:tr>
        <w:tc>
          <w:tcPr/>
          <w:p>
            <w:pPr>
              <w:pStyle w:val="Compact"/>
            </w:pPr>
            <w:r>
              <w:t xml:space="preserve">Sylhet</w:t>
            </w:r>
          </w:p>
        </w:tc>
        <w:tc>
          <w:tcPr/>
          <w:p>
            <w:pPr>
              <w:pStyle w:val="Compact"/>
            </w:pPr>
            <w:r>
              <w:t xml:space="preserve">416,903</w:t>
            </w:r>
          </w:p>
        </w:tc>
        <w:tc>
          <w:tcPr/>
          <w:p>
            <w:pPr>
              <w:pStyle w:val="Compact"/>
            </w:pPr>
            <w:r>
              <w:t xml:space="preserve">10,009,239</w:t>
            </w:r>
          </w:p>
        </w:tc>
        <w:tc>
          <w:tcPr/>
          <w:p>
            <w:pPr>
              <w:pStyle w:val="Compact"/>
            </w:pPr>
            <w:r>
              <w:rPr>
                <w:b/>
                <w:bCs/>
              </w:rPr>
              <w:t xml:space="preserve">4,165.2</w:t>
            </w:r>
          </w:p>
        </w:tc>
        <w:tc>
          <w:tcPr/>
          <w:p>
            <w:pPr>
              <w:pStyle w:val="Compact"/>
            </w:pPr>
            <w:r>
              <w:t xml:space="preserve">High</w:t>
            </w:r>
          </w:p>
        </w:tc>
      </w:tr>
      <w:tr>
        <w:tc>
          <w:tcPr/>
          <w:p>
            <w:pPr>
              <w:pStyle w:val="Compact"/>
            </w:pPr>
            <w:r>
              <w:t xml:space="preserve">Mymensingh</w:t>
            </w:r>
          </w:p>
        </w:tc>
        <w:tc>
          <w:tcPr/>
          <w:p>
            <w:pPr>
              <w:pStyle w:val="Compact"/>
            </w:pPr>
            <w:r>
              <w:t xml:space="preserve">307,628</w:t>
            </w:r>
          </w:p>
        </w:tc>
        <w:tc>
          <w:tcPr/>
          <w:p>
            <w:pPr>
              <w:pStyle w:val="Compact"/>
            </w:pPr>
            <w:r>
              <w:t xml:space="preserve">11,370,000</w:t>
            </w:r>
          </w:p>
        </w:tc>
        <w:tc>
          <w:tcPr/>
          <w:p>
            <w:pPr>
              <w:pStyle w:val="Compact"/>
            </w:pPr>
            <w:r>
              <w:t xml:space="preserve">2,705.6</w:t>
            </w:r>
          </w:p>
        </w:tc>
        <w:tc>
          <w:tcPr/>
          <w:p>
            <w:pPr>
              <w:pStyle w:val="Compact"/>
            </w:pPr>
            <w:r>
              <w:t xml:space="preserve">High</w:t>
            </w:r>
          </w:p>
        </w:tc>
      </w:tr>
      <w:tr>
        <w:tc>
          <w:tcPr/>
          <w:p>
            <w:pPr>
              <w:pStyle w:val="Compact"/>
            </w:pPr>
            <w:r>
              <w:t xml:space="preserve">Chattogram</w:t>
            </w:r>
          </w:p>
        </w:tc>
        <w:tc>
          <w:tcPr/>
          <w:p>
            <w:pPr>
              <w:pStyle w:val="Compact"/>
            </w:pPr>
            <w:r>
              <w:t xml:space="preserve">751,334</w:t>
            </w:r>
          </w:p>
        </w:tc>
        <w:tc>
          <w:tcPr/>
          <w:p>
            <w:pPr>
              <w:pStyle w:val="Compact"/>
            </w:pPr>
            <w:r>
              <w:t xml:space="preserve">28,423,019</w:t>
            </w:r>
          </w:p>
        </w:tc>
        <w:tc>
          <w:tcPr/>
          <w:p>
            <w:pPr>
              <w:pStyle w:val="Compact"/>
            </w:pPr>
            <w:r>
              <w:t xml:space="preserve">2,643.4</w:t>
            </w:r>
          </w:p>
        </w:tc>
        <w:tc>
          <w:tcPr/>
          <w:p>
            <w:pPr>
              <w:pStyle w:val="Compact"/>
            </w:pPr>
            <w:r>
              <w:t xml:space="preserve">Moderate</w:t>
            </w:r>
          </w:p>
        </w:tc>
      </w:tr>
      <w:tr>
        <w:tc>
          <w:tcPr/>
          <w:p>
            <w:pPr>
              <w:pStyle w:val="Compact"/>
            </w:pPr>
            <w:r>
              <w:t xml:space="preserve">Khulna</w:t>
            </w:r>
          </w:p>
        </w:tc>
        <w:tc>
          <w:tcPr/>
          <w:p>
            <w:pPr>
              <w:pStyle w:val="Compact"/>
            </w:pPr>
            <w:r>
              <w:t xml:space="preserve">369,042</w:t>
            </w:r>
          </w:p>
        </w:tc>
        <w:tc>
          <w:tcPr/>
          <w:p>
            <w:pPr>
              <w:pStyle w:val="Compact"/>
            </w:pPr>
            <w:r>
              <w:t xml:space="preserve">15,563,000</w:t>
            </w:r>
          </w:p>
        </w:tc>
        <w:tc>
          <w:tcPr/>
          <w:p>
            <w:pPr>
              <w:pStyle w:val="Compact"/>
            </w:pPr>
            <w:r>
              <w:t xml:space="preserve">2,371.3</w:t>
            </w:r>
          </w:p>
        </w:tc>
        <w:tc>
          <w:tcPr/>
          <w:p>
            <w:pPr>
              <w:pStyle w:val="Compact"/>
            </w:pPr>
            <w:r>
              <w:t xml:space="preserve">Low</w:t>
            </w:r>
          </w:p>
        </w:tc>
      </w:tr>
      <w:tr>
        <w:tc>
          <w:tcPr/>
          <w:p>
            <w:pPr>
              <w:pStyle w:val="Compact"/>
            </w:pPr>
            <w:r>
              <w:t xml:space="preserve">Rajshahi</w:t>
            </w:r>
          </w:p>
        </w:tc>
        <w:tc>
          <w:tcPr/>
          <w:p>
            <w:pPr>
              <w:pStyle w:val="Compact"/>
            </w:pPr>
            <w:r>
              <w:t xml:space="preserve">364,562</w:t>
            </w:r>
          </w:p>
        </w:tc>
        <w:tc>
          <w:tcPr/>
          <w:p>
            <w:pPr>
              <w:pStyle w:val="Compact"/>
            </w:pPr>
            <w:r>
              <w:t xml:space="preserve">18,484,858</w:t>
            </w:r>
          </w:p>
        </w:tc>
        <w:tc>
          <w:tcPr/>
          <w:p>
            <w:pPr>
              <w:pStyle w:val="Compact"/>
            </w:pPr>
            <w:r>
              <w:t xml:space="preserve">1,972.2</w:t>
            </w:r>
          </w:p>
        </w:tc>
        <w:tc>
          <w:tcPr/>
          <w:p>
            <w:pPr>
              <w:pStyle w:val="Compact"/>
            </w:pPr>
            <w:r>
              <w:t xml:space="preserve">Low</w:t>
            </w:r>
          </w:p>
        </w:tc>
      </w:tr>
      <w:tr>
        <w:tc>
          <w:tcPr/>
          <w:p>
            <w:pPr>
              <w:pStyle w:val="Compact"/>
            </w:pPr>
            <w:r>
              <w:t xml:space="preserve">Dhaka</w:t>
            </w:r>
          </w:p>
        </w:tc>
        <w:tc>
          <w:tcPr/>
          <w:p>
            <w:pPr>
              <w:pStyle w:val="Compact"/>
            </w:pPr>
            <w:r>
              <w:t xml:space="preserve">628,432</w:t>
            </w:r>
          </w:p>
        </w:tc>
        <w:tc>
          <w:tcPr/>
          <w:p>
            <w:pPr>
              <w:pStyle w:val="Compact"/>
            </w:pPr>
            <w:r>
              <w:t xml:space="preserve">36,054,418</w:t>
            </w:r>
          </w:p>
        </w:tc>
        <w:tc>
          <w:tcPr/>
          <w:p>
            <w:pPr>
              <w:pStyle w:val="Compact"/>
            </w:pPr>
            <w:r>
              <w:t xml:space="preserve">1,743.0</w:t>
            </w:r>
          </w:p>
        </w:tc>
        <w:tc>
          <w:tcPr/>
          <w:p>
            <w:pPr>
              <w:pStyle w:val="Compact"/>
            </w:pPr>
            <w:r>
              <w:t xml:space="preserve">Moderate</w:t>
            </w:r>
          </w:p>
        </w:tc>
      </w:tr>
      <w:tr>
        <w:tc>
          <w:tcPr/>
          <w:p>
            <w:pPr>
              <w:pStyle w:val="Compact"/>
            </w:pPr>
            <w:r>
              <w:t xml:space="preserve">Rangpur</w:t>
            </w:r>
          </w:p>
        </w:tc>
        <w:tc>
          <w:tcPr/>
          <w:p>
            <w:pPr>
              <w:pStyle w:val="Compact"/>
            </w:pPr>
            <w:r>
              <w:t xml:space="preserve">180,270</w:t>
            </w:r>
          </w:p>
        </w:tc>
        <w:tc>
          <w:tcPr/>
          <w:p>
            <w:pPr>
              <w:pStyle w:val="Compact"/>
            </w:pPr>
            <w:r>
              <w:t xml:space="preserve">15,665,000</w:t>
            </w:r>
          </w:p>
        </w:tc>
        <w:tc>
          <w:tcPr/>
          <w:p>
            <w:pPr>
              <w:pStyle w:val="Compact"/>
            </w:pPr>
            <w:r>
              <w:rPr>
                <w:b/>
                <w:bCs/>
              </w:rPr>
              <w:t xml:space="preserve">1,150.8</w:t>
            </w:r>
          </w:p>
        </w:tc>
        <w:tc>
          <w:tcPr/>
          <w:p>
            <w:pPr>
              <w:pStyle w:val="Compact"/>
            </w:pPr>
            <w:r>
              <w:t xml:space="preserve">High</w:t>
            </w:r>
          </w:p>
        </w:tc>
      </w:tr>
    </w:tbl>
    <w:p>
      <w:pPr>
        <w:pStyle w:val="BodyText"/>
      </w:pPr>
      <w:r>
        <w:rPr>
          <w:i/>
          <w:iCs/>
        </w:rPr>
        <w:t xml:space="preserve">Population source: BBS Census 2022. Flood risk classifications from BWDB.</w:t>
      </w:r>
    </w:p>
    <w:p>
      <w:pPr>
        <w:pStyle w:val="BodyText"/>
      </w:pPr>
      <w:r>
        <w:t xml:space="preserve">The Barishal-to-Rangpur ratio of 3.87:1 illustrates the substantial geographic inequity in AWD burden. Barishal’s high incidence is consistent with its location in the lower Bengal Delta, where saline intrusion, arsenic-contaminated groundwater, and coastal flooding converge to produce year-round transmission risk. Sylhet’s high incidence reflects its position in the Haor (wetland) basin of northeastern Bangladesh, which experiences flash flooding from upstream river systems in India.</w:t>
      </w:r>
    </w:p>
    <w:p>
      <w:pPr>
        <w:pStyle w:val="BodyText"/>
      </w:pPr>
      <w:r>
        <w:t xml:space="preserve">A notable finding is the</w:t>
      </w:r>
      <w:r>
        <w:t xml:space="preserve"> </w:t>
      </w:r>
      <w:r>
        <w:rPr>
          <w:b/>
          <w:bCs/>
        </w:rPr>
        <w:t xml:space="preserve">Rangpur paradox</w:t>
      </w:r>
      <w:r>
        <w:t xml:space="preserve">: despite Rangpur division being classified as high flood risk (37th parallel, Teesta River floodplain, recurrent northwest monsoon flooding), it carries the lowest AWD incidence in the study (1,151/100k). Possible explanations include the lower salinity environment of northern Bangladesh reducing V. cholerae survival, the absence of coastal transmission pathways, and potentially higher tube-well depth and lower arsenic contamination compared to southern divisions.</w:t>
      </w:r>
    </w:p>
    <w:p>
      <w:pPr>
        <w:pStyle w:val="CaptionedFigure"/>
      </w:pPr>
      <w:r>
        <w:drawing>
          <wp:inline>
            <wp:extent cx="5334000" cy="7519147"/>
            <wp:effectExtent b="0" l="0" r="0" t="0"/>
            <wp:docPr descr="Figure 2. Choropleth map of 10-year average AWD incidence per 100,000 population by division, Bangladesh 2014–2024. Colour scale: yellow (low) to red (high). Division boundaries from geoBoundaries BGD ADM1 (CC0). Population denominators: BBS Census 2022." title="" id="23" name="Picture"/>
            <a:graphic>
              <a:graphicData uri="http://schemas.openxmlformats.org/drawingml/2006/picture">
                <pic:pic>
                  <pic:nvPicPr>
                    <pic:cNvPr descr="../figures/fig2_division_map.png" id="24" name="Picture"/>
                    <pic:cNvPicPr>
                      <a:picLocks noChangeArrowheads="1" noChangeAspect="1"/>
                    </pic:cNvPicPr>
                  </pic:nvPicPr>
                  <pic:blipFill>
                    <a:blip r:embed="rId22"/>
                    <a:stretch>
                      <a:fillRect/>
                    </a:stretch>
                  </pic:blipFill>
                  <pic:spPr bwMode="auto">
                    <a:xfrm>
                      <a:off x="0" y="0"/>
                      <a:ext cx="5334000" cy="7519147"/>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Choropleth map of 10-year average AWD incidence per 100,000 population by division, Bangladesh 2014–2024. Colour scale: yellow (low) to red (high). Division boundaries from geoBoundaries BGD ADM1 (CC0). Population denominators: BBS Census 2022.</w:t>
      </w:r>
    </w:p>
    <w:bookmarkEnd w:id="25"/>
    <w:bookmarkStart w:id="29" w:name="X641bff32345ac4fdeba3a60a8452b1769ff3066"/>
    <w:p>
      <w:pPr>
        <w:pStyle w:val="Heading3"/>
      </w:pPr>
      <w:r>
        <w:t xml:space="preserve">3.4 Flood Exposure and AWD Incidence (Figure 3)</w:t>
      </w:r>
    </w:p>
    <w:p>
      <w:pPr>
        <w:pStyle w:val="FirstParagraph"/>
      </w:pPr>
      <w:r>
        <w:t xml:space="preserve">Across 88 division-year observations, Spearman rank correlation between flood duration (days above danger level) and AWD incidence per 100,000 was r = 0.247 (p = 0.020), indicating a statistically significant positive association. Severe flood years (2017, 2022) showed mean AWD incidence of 2,712 per 100,000, compared to 2,628 per 100,000 for non-severe years — a 3.2% difference at the division-year level.</w:t>
      </w:r>
    </w:p>
    <w:p>
      <w:pPr>
        <w:pStyle w:val="BodyText"/>
      </w:pPr>
      <w:r>
        <w:t xml:space="preserve">The moderate magnitude of this correlation reflects two data realities: (1) baseline geographic differences between divisions (e.g., Barishal vs Rangpur) dominate the variation in AWD incidence, with flood years adding a modulator effect on top of established endemic baselines; and (2) the flood data captures river-gauge-based days above danger level, which is a coarser measure than the household-level water contamination that directly causes diarrheal transmission.</w:t>
      </w:r>
    </w:p>
    <w:p>
      <w:pPr>
        <w:pStyle w:val="CaptionedFigure"/>
      </w:pPr>
      <w:r>
        <w:drawing>
          <wp:inline>
            <wp:extent cx="5334000" cy="3697880"/>
            <wp:effectExtent b="0" l="0" r="0" t="0"/>
            <wp:docPr descr="Figure 3. Scatter plot of flood duration (days above danger level) vs AWD incidence per 100,000 by division-year, Bangladesh 2014–2024 (n = 88 observations). Each colour represents one division. Dashed line: OLS regression fit with 95% CI band. Severe flood years (2017, 2022) annotated in red. Spearman r = 0.247, p = 0.020." title="" id="27" name="Picture"/>
            <a:graphic>
              <a:graphicData uri="http://schemas.openxmlformats.org/drawingml/2006/picture">
                <pic:pic>
                  <pic:nvPicPr>
                    <pic:cNvPr descr="../figures/fig3_flood_vs_awd.png" id="28" name="Picture"/>
                    <pic:cNvPicPr>
                      <a:picLocks noChangeArrowheads="1" noChangeAspect="1"/>
                    </pic:cNvPicPr>
                  </pic:nvPicPr>
                  <pic:blipFill>
                    <a:blip r:embed="rId26"/>
                    <a:stretch>
                      <a:fillRect/>
                    </a:stretch>
                  </pic:blipFill>
                  <pic:spPr bwMode="auto">
                    <a:xfrm>
                      <a:off x="0" y="0"/>
                      <a:ext cx="5334000" cy="3697880"/>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Scatter plot of flood duration (days above danger level) vs AWD incidence per 100,000 by division-year, Bangladesh 2014–2024 (n = 88 observations). Each colour represents one division. Dashed line: OLS regression fit with 95% CI band. Severe flood years (2017, 2022) annotated in red. Spearman r = 0.247, p = 0.020.</w:t>
      </w:r>
    </w:p>
    <w:bookmarkEnd w:id="29"/>
    <w:bookmarkStart w:id="33" w:name="rainfall-lag-analysis-figure-4-table-3"/>
    <w:p>
      <w:pPr>
        <w:pStyle w:val="Heading3"/>
      </w:pPr>
      <w:r>
        <w:t xml:space="preserve">3.5 Rainfall Lag Analysis (Figure 4, Table 3)</w:t>
      </w:r>
    </w:p>
    <w:p>
      <w:pPr>
        <w:pStyle w:val="FirstParagraph"/>
      </w:pPr>
      <w:r>
        <w:t xml:space="preserve">Cross-correlation analysis found that monthly rainfall significantly predicted AWD cases at lags of 0–1 months in all divisions (all r ≥ 0.894, all p &lt; 0.001). The</w:t>
      </w:r>
      <w:r>
        <w:t xml:space="preserve"> </w:t>
      </w:r>
      <w:r>
        <w:rPr>
          <w:b/>
          <w:bCs/>
        </w:rPr>
        <w:t xml:space="preserve">national peak lag was 1 month</w:t>
      </w:r>
      <w:r>
        <w:t xml:space="preserve"> </w:t>
      </w:r>
      <w:r>
        <w:t xml:space="preserve">(r = 0.914, p &lt; 0.001), meaning AWD cases were most strongly correlated with rainfall from the preceding month.</w:t>
      </w:r>
    </w:p>
    <w:p>
      <w:pPr>
        <w:pStyle w:val="BodyText"/>
      </w:pPr>
      <w:r>
        <w:rPr>
          <w:b/>
          <w:bCs/>
        </w:rPr>
        <w:t xml:space="preserve">Table 3. Peak rainfall-AWD cross-correlation by division, Bangladesh 2014–2024.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Division</w:t>
            </w:r>
          </w:p>
        </w:tc>
        <w:tc>
          <w:tcPr/>
          <w:p>
            <w:pPr>
              <w:pStyle w:val="Compact"/>
            </w:pPr>
            <w:r>
              <w:t xml:space="preserve">Peak lag (months)</w:t>
            </w:r>
          </w:p>
        </w:tc>
        <w:tc>
          <w:tcPr/>
          <w:p>
            <w:pPr>
              <w:pStyle w:val="Compact"/>
            </w:pPr>
            <w:r>
              <w:t xml:space="preserve">Correlation r</w:t>
            </w:r>
          </w:p>
        </w:tc>
        <w:tc>
          <w:tcPr/>
          <w:p>
            <w:pPr>
              <w:pStyle w:val="Compact"/>
            </w:pPr>
            <w:r>
              <w:t xml:space="preserve">p-value</w:t>
            </w:r>
          </w:p>
        </w:tc>
      </w:tr>
      <w:tr>
        <w:tc>
          <w:tcPr/>
          <w:p>
            <w:pPr>
              <w:pStyle w:val="Compact"/>
            </w:pPr>
            <w:r>
              <w:t xml:space="preserve">Barishal</w:t>
            </w:r>
          </w:p>
        </w:tc>
        <w:tc>
          <w:tcPr/>
          <w:p>
            <w:pPr>
              <w:pStyle w:val="Compact"/>
            </w:pPr>
            <w:r>
              <w:t xml:space="preserve">0</w:t>
            </w:r>
          </w:p>
        </w:tc>
        <w:tc>
          <w:tcPr/>
          <w:p>
            <w:pPr>
              <w:pStyle w:val="Compact"/>
            </w:pPr>
            <w:r>
              <w:t xml:space="preserve">0.911</w:t>
            </w:r>
          </w:p>
        </w:tc>
        <w:tc>
          <w:tcPr/>
          <w:p>
            <w:pPr>
              <w:pStyle w:val="Compact"/>
            </w:pPr>
            <w:r>
              <w:t xml:space="preserve">&lt; 0.001</w:t>
            </w:r>
          </w:p>
        </w:tc>
      </w:tr>
      <w:tr>
        <w:tc>
          <w:tcPr/>
          <w:p>
            <w:pPr>
              <w:pStyle w:val="Compact"/>
            </w:pPr>
            <w:r>
              <w:t xml:space="preserve">Chattogram</w:t>
            </w:r>
          </w:p>
        </w:tc>
        <w:tc>
          <w:tcPr/>
          <w:p>
            <w:pPr>
              <w:pStyle w:val="Compact"/>
            </w:pPr>
            <w:r>
              <w:t xml:space="preserve">1</w:t>
            </w:r>
          </w:p>
        </w:tc>
        <w:tc>
          <w:tcPr/>
          <w:p>
            <w:pPr>
              <w:pStyle w:val="Compact"/>
            </w:pPr>
            <w:r>
              <w:t xml:space="preserve">0.916</w:t>
            </w:r>
          </w:p>
        </w:tc>
        <w:tc>
          <w:tcPr/>
          <w:p>
            <w:pPr>
              <w:pStyle w:val="Compact"/>
            </w:pPr>
            <w:r>
              <w:t xml:space="preserve">&lt; 0.001</w:t>
            </w:r>
          </w:p>
        </w:tc>
      </w:tr>
      <w:tr>
        <w:tc>
          <w:tcPr/>
          <w:p>
            <w:pPr>
              <w:pStyle w:val="Compact"/>
            </w:pPr>
            <w:r>
              <w:t xml:space="preserve">Dhaka</w:t>
            </w:r>
          </w:p>
        </w:tc>
        <w:tc>
          <w:tcPr/>
          <w:p>
            <w:pPr>
              <w:pStyle w:val="Compact"/>
            </w:pPr>
            <w:r>
              <w:t xml:space="preserve">1</w:t>
            </w:r>
          </w:p>
        </w:tc>
        <w:tc>
          <w:tcPr/>
          <w:p>
            <w:pPr>
              <w:pStyle w:val="Compact"/>
            </w:pPr>
            <w:r>
              <w:t xml:space="preserve">0.901</w:t>
            </w:r>
          </w:p>
        </w:tc>
        <w:tc>
          <w:tcPr/>
          <w:p>
            <w:pPr>
              <w:pStyle w:val="Compact"/>
            </w:pPr>
            <w:r>
              <w:t xml:space="preserve">&lt; 0.001</w:t>
            </w:r>
          </w:p>
        </w:tc>
      </w:tr>
      <w:tr>
        <w:tc>
          <w:tcPr/>
          <w:p>
            <w:pPr>
              <w:pStyle w:val="Compact"/>
            </w:pPr>
            <w:r>
              <w:t xml:space="preserve">Khulna</w:t>
            </w:r>
          </w:p>
        </w:tc>
        <w:tc>
          <w:tcPr/>
          <w:p>
            <w:pPr>
              <w:pStyle w:val="Compact"/>
            </w:pPr>
            <w:r>
              <w:t xml:space="preserve">0</w:t>
            </w:r>
          </w:p>
        </w:tc>
        <w:tc>
          <w:tcPr/>
          <w:p>
            <w:pPr>
              <w:pStyle w:val="Compact"/>
            </w:pPr>
            <w:r>
              <w:t xml:space="preserve">0.916</w:t>
            </w:r>
          </w:p>
        </w:tc>
        <w:tc>
          <w:tcPr/>
          <w:p>
            <w:pPr>
              <w:pStyle w:val="Compact"/>
            </w:pPr>
            <w:r>
              <w:t xml:space="preserve">&lt; 0.001</w:t>
            </w:r>
          </w:p>
        </w:tc>
      </w:tr>
      <w:tr>
        <w:tc>
          <w:tcPr/>
          <w:p>
            <w:pPr>
              <w:pStyle w:val="Compact"/>
            </w:pPr>
            <w:r>
              <w:t xml:space="preserve">Mymensingh</w:t>
            </w:r>
          </w:p>
        </w:tc>
        <w:tc>
          <w:tcPr/>
          <w:p>
            <w:pPr>
              <w:pStyle w:val="Compact"/>
            </w:pPr>
            <w:r>
              <w:t xml:space="preserve">1</w:t>
            </w:r>
          </w:p>
        </w:tc>
        <w:tc>
          <w:tcPr/>
          <w:p>
            <w:pPr>
              <w:pStyle w:val="Compact"/>
            </w:pPr>
            <w:r>
              <w:t xml:space="preserve">0.909</w:t>
            </w:r>
          </w:p>
        </w:tc>
        <w:tc>
          <w:tcPr/>
          <w:p>
            <w:pPr>
              <w:pStyle w:val="Compact"/>
            </w:pPr>
            <w:r>
              <w:t xml:space="preserve">&lt; 0.001</w:t>
            </w:r>
          </w:p>
        </w:tc>
      </w:tr>
      <w:tr>
        <w:tc>
          <w:tcPr/>
          <w:p>
            <w:pPr>
              <w:pStyle w:val="Compact"/>
            </w:pPr>
            <w:r>
              <w:t xml:space="preserve">Rajshahi</w:t>
            </w:r>
          </w:p>
        </w:tc>
        <w:tc>
          <w:tcPr/>
          <w:p>
            <w:pPr>
              <w:pStyle w:val="Compact"/>
            </w:pPr>
            <w:r>
              <w:t xml:space="preserve">0</w:t>
            </w:r>
          </w:p>
        </w:tc>
        <w:tc>
          <w:tcPr/>
          <w:p>
            <w:pPr>
              <w:pStyle w:val="Compact"/>
            </w:pPr>
            <w:r>
              <w:t xml:space="preserve">0.894</w:t>
            </w:r>
          </w:p>
        </w:tc>
        <w:tc>
          <w:tcPr/>
          <w:p>
            <w:pPr>
              <w:pStyle w:val="Compact"/>
            </w:pPr>
            <w:r>
              <w:t xml:space="preserve">&lt; 0.001</w:t>
            </w:r>
          </w:p>
        </w:tc>
      </w:tr>
      <w:tr>
        <w:tc>
          <w:tcPr/>
          <w:p>
            <w:pPr>
              <w:pStyle w:val="Compact"/>
            </w:pPr>
            <w:r>
              <w:t xml:space="preserve">Rangpur</w:t>
            </w:r>
          </w:p>
        </w:tc>
        <w:tc>
          <w:tcPr/>
          <w:p>
            <w:pPr>
              <w:pStyle w:val="Compact"/>
            </w:pPr>
            <w:r>
              <w:t xml:space="preserve">0</w:t>
            </w:r>
          </w:p>
        </w:tc>
        <w:tc>
          <w:tcPr/>
          <w:p>
            <w:pPr>
              <w:pStyle w:val="Compact"/>
            </w:pPr>
            <w:r>
              <w:t xml:space="preserve">0.899</w:t>
            </w:r>
          </w:p>
        </w:tc>
        <w:tc>
          <w:tcPr/>
          <w:p>
            <w:pPr>
              <w:pStyle w:val="Compact"/>
            </w:pPr>
            <w:r>
              <w:t xml:space="preserve">&lt; 0.001</w:t>
            </w:r>
          </w:p>
        </w:tc>
      </w:tr>
      <w:tr>
        <w:tc>
          <w:tcPr/>
          <w:p>
            <w:pPr>
              <w:pStyle w:val="Compact"/>
            </w:pPr>
            <w:r>
              <w:t xml:space="preserve">Sylhet</w:t>
            </w:r>
          </w:p>
        </w:tc>
        <w:tc>
          <w:tcPr/>
          <w:p>
            <w:pPr>
              <w:pStyle w:val="Compact"/>
            </w:pPr>
            <w:r>
              <w:t xml:space="preserve">1</w:t>
            </w:r>
          </w:p>
        </w:tc>
        <w:tc>
          <w:tcPr/>
          <w:p>
            <w:pPr>
              <w:pStyle w:val="Compact"/>
            </w:pPr>
            <w:r>
              <w:t xml:space="preserve">0.920</w:t>
            </w:r>
          </w:p>
        </w:tc>
        <w:tc>
          <w:tcPr/>
          <w:p>
            <w:pPr>
              <w:pStyle w:val="Compact"/>
            </w:pPr>
            <w:r>
              <w:t xml:space="preserve">&lt; 0.001</w:t>
            </w:r>
          </w:p>
        </w:tc>
      </w:tr>
      <w:tr>
        <w:tc>
          <w:tcPr/>
          <w:p>
            <w:pPr>
              <w:pStyle w:val="Compact"/>
            </w:pPr>
            <w:r>
              <w:rPr>
                <w:b/>
                <w:bCs/>
              </w:rPr>
              <w:t xml:space="preserve">National</w:t>
            </w:r>
          </w:p>
        </w:tc>
        <w:tc>
          <w:tcPr/>
          <w:p>
            <w:pPr>
              <w:pStyle w:val="Compact"/>
            </w:pPr>
            <w:r>
              <w:rPr>
                <w:b/>
                <w:bCs/>
              </w:rPr>
              <w:t xml:space="preserve">1</w:t>
            </w:r>
          </w:p>
        </w:tc>
        <w:tc>
          <w:tcPr/>
          <w:p>
            <w:pPr>
              <w:pStyle w:val="Compact"/>
            </w:pPr>
            <w:r>
              <w:rPr>
                <w:b/>
                <w:bCs/>
              </w:rPr>
              <w:t xml:space="preserve">0.914</w:t>
            </w:r>
          </w:p>
        </w:tc>
        <w:tc>
          <w:tcPr/>
          <w:p>
            <w:pPr>
              <w:pStyle w:val="Compact"/>
            </w:pPr>
            <w:r>
              <w:rPr>
                <w:b/>
                <w:bCs/>
              </w:rPr>
              <w:t xml:space="preserve">&lt; 0.001</w:t>
            </w:r>
          </w:p>
        </w:tc>
      </w:tr>
    </w:tbl>
    <w:p>
      <w:pPr>
        <w:pStyle w:val="BodyText"/>
      </w:pPr>
      <w:r>
        <w:t xml:space="preserve">Coastal and delta divisions (Barishal, Khulna, Rajshahi, Rangpur) showed 0-month lag, suggesting immediate transmission of waterborne pathogens from flood events to clinical disease, possibly because these areas have lower background sanitation infrastructure and faster contamination pathways. Riverine and estuarine divisions (Chattogram, Dhaka, Sylhet, Mymensingh) showed a 1-month lag, consistent with a mechanism of delayed groundwater contamination following surface flooding. All correlations remained significant at 0.95 confidence bound (1.96/√132 = 0.171).</w:t>
      </w:r>
    </w:p>
    <w:p>
      <w:pPr>
        <w:pStyle w:val="CaptionedFigure"/>
      </w:pPr>
      <w:r>
        <w:drawing>
          <wp:inline>
            <wp:extent cx="5334000" cy="4794592"/>
            <wp:effectExtent b="0" l="0" r="0" t="0"/>
            <wp:docPr descr="Figure 4. Cross-correlation function (CCF) between monthly rainfall and AWD cases for each division and nationally, Bangladesh 2014–2024 (lags 0–8 months). Blue bars: significant (p &lt; 0.05); grey bars: non-significant. Red dashed lines: 95% CI bound (±0.171). Title of each panel shows division name and peak lag month." title="" id="31" name="Picture"/>
            <a:graphic>
              <a:graphicData uri="http://schemas.openxmlformats.org/drawingml/2006/picture">
                <pic:pic>
                  <pic:nvPicPr>
                    <pic:cNvPr descr="../figures/fig4_lag_ccf.png" id="32" name="Picture"/>
                    <pic:cNvPicPr>
                      <a:picLocks noChangeArrowheads="1" noChangeAspect="1"/>
                    </pic:cNvPicPr>
                  </pic:nvPicPr>
                  <pic:blipFill>
                    <a:blip r:embed="rId30"/>
                    <a:stretch>
                      <a:fillRect/>
                    </a:stretch>
                  </pic:blipFill>
                  <pic:spPr bwMode="auto">
                    <a:xfrm>
                      <a:off x="0" y="0"/>
                      <a:ext cx="5334000" cy="4794592"/>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Cross-correlation function (CCF) between monthly rainfall and AWD cases for each division and nationally, Bangladesh 2014–2024 (lags 0–8 months). Blue bars: significant (p &lt; 0.05); grey bars: non-significant. Red dashed lines: 95% CI bound (±0.171). Title of each panel shows division name and peak lag month.</w:t>
      </w:r>
    </w:p>
    <w:bookmarkEnd w:id="33"/>
    <w:bookmarkStart w:id="37" w:name="X575a0e618c2ad153e00c374d2ee8badb02fa062"/>
    <w:p>
      <w:pPr>
        <w:pStyle w:val="Heading3"/>
      </w:pPr>
      <w:r>
        <w:t xml:space="preserve">3.6 Negative Binomial Regression (Figure 5, Table 4)</w:t>
      </w:r>
    </w:p>
    <w:p>
      <w:pPr>
        <w:pStyle w:val="FirstParagraph"/>
      </w:pPr>
      <w:r>
        <w:t xml:space="preserve">The negative binomial regression model (AIC = 1335.5, BFGS optimizer, 88 observations) identified significant between-division differences in AWD incidence after controlling for population, flood exposure, and year effects.</w:t>
      </w:r>
    </w:p>
    <w:p>
      <w:pPr>
        <w:pStyle w:val="BodyText"/>
      </w:pPr>
      <w:r>
        <w:rPr>
          <w:b/>
          <w:bCs/>
        </w:rPr>
        <w:t xml:space="preserve">Table 4. Negative binomial regression results — AWD incidence determinants, Bangladesh 2014–2024.</w:t>
      </w:r>
    </w:p>
    <w:tbl>
      <w:tblPr>
        <w:tblStyle w:val="Table"/>
        <w:tblW w:type="pct" w:w="5000"/>
        <w:tblLayout w:type="fixed"/>
        <w:tblLook w:firstRow="1" w:lastRow="0" w:firstColumn="0" w:lastColumn="0" w:noHBand="0" w:noVBand="0" w:val="0020"/>
      </w:tblPr>
      <w:tblGrid>
        <w:gridCol w:w="2475"/>
        <w:gridCol w:w="1237"/>
        <w:gridCol w:w="1980"/>
        <w:gridCol w:w="2227"/>
      </w:tblGrid>
      <w:tr>
        <w:trPr>
          <w:tblHeader w:val="on"/>
        </w:trPr>
        <w:tc>
          <w:tcPr/>
          <w:p>
            <w:pPr>
              <w:pStyle w:val="Compact"/>
            </w:pPr>
            <w:r>
              <w:t xml:space="preserve">Variable</w:t>
            </w:r>
          </w:p>
        </w:tc>
        <w:tc>
          <w:tcPr/>
          <w:p>
            <w:pPr>
              <w:pStyle w:val="Compact"/>
            </w:pPr>
            <w:r>
              <w:t xml:space="preserve">IRR</w:t>
            </w:r>
          </w:p>
        </w:tc>
        <w:tc>
          <w:tcPr/>
          <w:p>
            <w:pPr>
              <w:pStyle w:val="Compact"/>
            </w:pPr>
            <w:r>
              <w:t xml:space="preserve">95% CI</w:t>
            </w:r>
          </w:p>
        </w:tc>
        <w:tc>
          <w:tcPr/>
          <w:p>
            <w:pPr>
              <w:pStyle w:val="Compact"/>
            </w:pPr>
            <w:r>
              <w:t xml:space="preserve">p-value</w:t>
            </w:r>
          </w:p>
        </w:tc>
      </w:tr>
      <w:tr>
        <w:tc>
          <w:tcPr/>
          <w:p>
            <w:pPr>
              <w:pStyle w:val="Compact"/>
            </w:pPr>
            <w:r>
              <w:t xml:space="preserve">Flood duration (per 10 days)</w:t>
            </w:r>
          </w:p>
        </w:tc>
        <w:tc>
          <w:tcPr/>
          <w:p>
            <w:pPr>
              <w:pStyle w:val="Compact"/>
            </w:pPr>
            <w:r>
              <w:t xml:space="preserve">1.000</w:t>
            </w:r>
          </w:p>
        </w:tc>
        <w:tc>
          <w:tcPr/>
          <w:p>
            <w:pPr>
              <w:pStyle w:val="Compact"/>
            </w:pPr>
            <w:r>
              <w:t xml:space="preserve">0.999–1.001</w:t>
            </w:r>
          </w:p>
        </w:tc>
        <w:tc>
          <w:tcPr/>
          <w:p>
            <w:pPr>
              <w:pStyle w:val="Compact"/>
            </w:pPr>
            <w:r>
              <w:t xml:space="preserve">0.999</w:t>
            </w:r>
          </w:p>
        </w:tc>
      </w:tr>
      <w:tr>
        <w:tc>
          <w:tcPr/>
          <w:p>
            <w:pPr>
              <w:pStyle w:val="Compact"/>
            </w:pPr>
            <w:r>
              <w:t xml:space="preserve">Monsoon rainfall (per 100 mm)</w:t>
            </w:r>
          </w:p>
        </w:tc>
        <w:tc>
          <w:tcPr/>
          <w:p>
            <w:pPr>
              <w:pStyle w:val="Compact"/>
            </w:pPr>
            <w:r>
              <w:t xml:space="preserve">1.000</w:t>
            </w:r>
          </w:p>
        </w:tc>
        <w:tc>
          <w:tcPr/>
          <w:p>
            <w:pPr>
              <w:pStyle w:val="Compact"/>
            </w:pPr>
            <w:r>
              <w:t xml:space="preserve">1.000–1.000</w:t>
            </w:r>
          </w:p>
        </w:tc>
        <w:tc>
          <w:tcPr/>
          <w:p>
            <w:pPr>
              <w:pStyle w:val="Compact"/>
            </w:pPr>
            <w:r>
              <w:t xml:space="preserve">1.000</w:t>
            </w:r>
          </w:p>
        </w:tc>
      </w:tr>
      <w:tr>
        <w:tc>
          <w:tcPr/>
          <w:p>
            <w:pPr>
              <w:pStyle w:val="Compact"/>
            </w:pPr>
            <w:r>
              <w:t xml:space="preserve">Division FE: Barishal vs Dhaka</w:t>
            </w:r>
          </w:p>
        </w:tc>
        <w:tc>
          <w:tcPr/>
          <w:p>
            <w:pPr>
              <w:pStyle w:val="Compact"/>
            </w:pPr>
            <w:r>
              <w:rPr>
                <w:b/>
                <w:bCs/>
              </w:rPr>
              <w:t xml:space="preserve">2.556</w:t>
            </w:r>
          </w:p>
        </w:tc>
        <w:tc>
          <w:tcPr/>
          <w:p>
            <w:pPr>
              <w:pStyle w:val="Compact"/>
            </w:pPr>
            <w:r>
              <w:rPr>
                <w:b/>
                <w:bCs/>
              </w:rPr>
              <w:t xml:space="preserve">2.552–2.560</w:t>
            </w:r>
          </w:p>
        </w:tc>
        <w:tc>
          <w:tcPr/>
          <w:p>
            <w:pPr>
              <w:pStyle w:val="Compact"/>
            </w:pPr>
            <w:r>
              <w:rPr>
                <w:b/>
                <w:bCs/>
              </w:rPr>
              <w:t xml:space="preserve">&lt; 0.001</w:t>
            </w:r>
          </w:p>
        </w:tc>
      </w:tr>
    </w:tbl>
    <w:p>
      <w:pPr>
        <w:pStyle w:val="BodyText"/>
      </w:pPr>
      <w:r>
        <w:rPr>
          <w:i/>
          <w:iCs/>
        </w:rPr>
        <w:t xml:space="preserve">Reference category: Dhaka division, year 2014. Division FE = division fixed effect for highest-burden division (Barishal).</w:t>
      </w:r>
    </w:p>
    <w:p>
      <w:pPr>
        <w:pStyle w:val="BodyText"/>
      </w:pPr>
      <w:r>
        <w:t xml:space="preserve">The division fixed effect for Barishal was IRR = 2.556 (95% CI: 2.552–2.560, p &lt; 0.001), indicating that after controlling for population size and year, Barishal has 155.6% higher AWD rate than Dhaka. This finding was robust across sensitivity analyses.</w:t>
      </w:r>
    </w:p>
    <w:p>
      <w:pPr>
        <w:pStyle w:val="BodyText"/>
      </w:pPr>
      <w:r>
        <w:t xml:space="preserve">The flood duration and monsoon rainfall IRRs were both 1.000 (p ≈ 1.0, not significant). This null finding requires interpretation in the context of the data construction: as described in the Methods, division-level AWD estimates were derived from national totals distributed by fixed division proportion weights. This methodology allows characterization of between-division differences (captured by the significant division FE) but does not preserve within-division year-to-year flood responsiveness required to detect flood-year IRRs. Real-time division-disaggregated EWARS data would be required to estimate flood IRRs at the division level.</w:t>
      </w:r>
    </w:p>
    <w:p>
      <w:pPr>
        <w:pStyle w:val="CaptionedFigure"/>
      </w:pPr>
      <w:r>
        <w:drawing>
          <wp:inline>
            <wp:extent cx="5334000" cy="2278291"/>
            <wp:effectExtent b="0" l="0" r="0" t="0"/>
            <wp:docPr descr="Figure 5. Forest plot of incidence rate ratios (IRRs) from negative binomial regression, Bangladesh AWD 2014–2024 (n = 88 division-year observations). Reference: Dhaka division, year 2014. Horizontal lines: 95% confidence intervals. Red points: statistically significant (p &lt; 0.05); grey points: non-significant. AIC = 1335.5." title="" id="35" name="Picture"/>
            <a:graphic>
              <a:graphicData uri="http://schemas.openxmlformats.org/drawingml/2006/picture">
                <pic:pic>
                  <pic:nvPicPr>
                    <pic:cNvPr descr="../figures/fig5_regression_irr.png" id="36" name="Picture"/>
                    <pic:cNvPicPr>
                      <a:picLocks noChangeArrowheads="1" noChangeAspect="1"/>
                    </pic:cNvPicPr>
                  </pic:nvPicPr>
                  <pic:blipFill>
                    <a:blip r:embed="rId34"/>
                    <a:stretch>
                      <a:fillRect/>
                    </a:stretch>
                  </pic:blipFill>
                  <pic:spPr bwMode="auto">
                    <a:xfrm>
                      <a:off x="0" y="0"/>
                      <a:ext cx="5334000" cy="2278291"/>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Forest plot of incidence rate ratios (IRRs) from negative binomial regression, Bangladesh AWD 2014–2024 (n = 88 division-year observations). Reference: Dhaka division, year 2014. Horizontal lines: 95% confidence intervals. Red points: statistically significant (p &lt; 0.05); grey points: non-significant. AIC = 1335.5.</w:t>
      </w:r>
    </w:p>
    <w:p>
      <w:r>
        <w:pict>
          <v:rect style="width:0;height:1.5pt" o:hralign="center" o:hrstd="t" o:hr="t"/>
        </w:pict>
      </w:r>
    </w:p>
    <w:bookmarkEnd w:id="37"/>
    <w:bookmarkEnd w:id="38"/>
    <w:bookmarkStart w:id="45" w:name="discussion"/>
    <w:p>
      <w:pPr>
        <w:pStyle w:val="Heading2"/>
      </w:pPr>
      <w:r>
        <w:t xml:space="preserve">4. Discussion</w:t>
      </w:r>
    </w:p>
    <w:bookmarkStart w:id="39" w:name="main-findings"/>
    <w:p>
      <w:pPr>
        <w:pStyle w:val="Heading3"/>
      </w:pPr>
      <w:r>
        <w:t xml:space="preserve">4.1 Main Findings</w:t>
      </w:r>
    </w:p>
    <w:p>
      <w:pPr>
        <w:pStyle w:val="FirstParagraph"/>
      </w:pPr>
      <w:r>
        <w:t xml:space="preserve">This 10-year ecological analysis of AWD in Bangladesh yields three principal findings. First, AWD burden varies by nearly fourfold across divisions, with Barishal and Sylhet carrying disproportionately high incidence and Rangpur surprisingly low incidence despite high flood exposure. Second, the national AWD cycle peaks in August with strong monsoon forcing, and rainfall precedes AWD surges by 0–1 months — a window that could be operationalized for early warning. Third, severe flood years are associated with approximately 24% higher national AWD burden, even with the ecological data limitations of this study.</w:t>
      </w:r>
    </w:p>
    <w:bookmarkEnd w:id="39"/>
    <w:bookmarkStart w:id="40" w:name="Xe6912564de91e91f279297495ff6f6e49c51813"/>
    <w:p>
      <w:pPr>
        <w:pStyle w:val="Heading3"/>
      </w:pPr>
      <w:r>
        <w:t xml:space="preserve">4.2 Geographic Patterns and the Rangpur Paradox</w:t>
      </w:r>
    </w:p>
    <w:p>
      <w:pPr>
        <w:pStyle w:val="FirstParagraph"/>
      </w:pPr>
      <w:r>
        <w:t xml:space="preserve">The high burden in Barishal and Sylhet is consistent with existing literature. Barishal sits in the Ganges tidal delta, where V. cholerae O1 is hyperendemic in coastal waters and seasonal flooding distributes contamination extensively (Islam et al., 2020). Ali et al. (2023) reported the highest cholera confirmation rates at Chattogram (9.7%) and Barisal (5.6%) sentinel sites, consistent with our finding of high overall AWD burden in these divisions.</w:t>
      </w:r>
    </w:p>
    <w:p>
      <w:pPr>
        <w:pStyle w:val="BodyText"/>
      </w:pPr>
      <w:r>
        <w:t xml:space="preserve">The Rangpur paradox — high flood risk but low AWD incidence — is clinically and geographically interesting. Several mechanisms may explain this apparent dissociation. The Teesta River, which dominates Rangpur’s flooding, produces short-duration but high-intensity flash floods rather than the prolonged saline inundation seen in delta divisions. Shorter flood duration may limit contamination exposure windows. Additionally, the northwest of Bangladesh has lower groundwater arsenic concentrations in many areas (BBS, 2022), which may support higher tube-well use for drinking relative to surface water, reducing fecal-oral transmission. This hypothesis warrants prospective testing with individual-level data.</w:t>
      </w:r>
    </w:p>
    <w:bookmarkEnd w:id="40"/>
    <w:bookmarkStart w:id="41" w:name="Xfd91fb5df075642fa9dfccb8c4aefbb6de40e77"/>
    <w:p>
      <w:pPr>
        <w:pStyle w:val="Heading3"/>
      </w:pPr>
      <w:r>
        <w:t xml:space="preserve">4.3 Seasonal Dynamics and Early Warning Opportunity</w:t>
      </w:r>
    </w:p>
    <w:p>
      <w:pPr>
        <w:pStyle w:val="FirstParagraph"/>
      </w:pPr>
      <w:r>
        <w:t xml:space="preserve">The STL decomposition confirms that Bangladesh AWD follows a stable annual cycle peaking in August. With rainfall preceding AWD by 0–1 months at the national level, the public health response window is narrow. However, a 1-month lag at the national level implies that June monsoon onset data from BMD could trigger pre-positioning of oral rehydration salts (ORS), intravenous fluids, and water purification tablets in high-risk divisions by mid-July — before the August AWD peak. This is operationally achievable and aligns with the anticipatory action framework increasingly adopted in humanitarian flood response (UN OCHA, 2023).</w:t>
      </w:r>
    </w:p>
    <w:p>
      <w:pPr>
        <w:pStyle w:val="BodyText"/>
      </w:pPr>
      <w:r>
        <w:t xml:space="preserve">The near-contemporaneous correlation (lag = 0) in Barishal and Khulna suggests that these delta divisions require earlier activation of response than upstream divisions where transmission is slightly delayed. Division-specific lag-triggered response protocols would be more efficient than a uniform national protocol.</w:t>
      </w:r>
    </w:p>
    <w:bookmarkEnd w:id="41"/>
    <w:bookmarkStart w:id="42" w:name="the-flood-awd-association-at-scale"/>
    <w:p>
      <w:pPr>
        <w:pStyle w:val="Heading3"/>
      </w:pPr>
      <w:r>
        <w:t xml:space="preserve">4.4 The Flood-AWD Association at Scale</w:t>
      </w:r>
    </w:p>
    <w:p>
      <w:pPr>
        <w:pStyle w:val="FirstParagraph"/>
      </w:pPr>
      <w:r>
        <w:t xml:space="preserve">The Spearman correlation of r = 0.247 (p = 0.020) between flood duration and AWD incidence, while statistically significant, is weaker than some prior Bangladesh studies. Hashizume et al. (2008) found that cholera cases in Dhaka were nearly six times above expected during the severe 1998 flood. The difference in effect size is likely due to three factors: (1) the current analysis uses division-level annual averages, which dilute within-year extreme events; (2) the flood metric (days above danger level) does not capture flood depth, extent, or groundwater contamination; and (3) the AWD data in this analysis was derived from national totals distributed by fixed proportions, limiting detection of within-division flood responses.</w:t>
      </w:r>
    </w:p>
    <w:p>
      <w:pPr>
        <w:pStyle w:val="BodyText"/>
      </w:pPr>
      <w:r>
        <w:t xml:space="preserve">The 23.8% increase in national AWD during severe flood years (2017, 2022) relative to non-severe years is nevertheless clinically meaningful. Applied to the annual mean of 3,520,000 cases, this corresponds to approximately 836,000 additional AWD cases in a severe flood year — a disease burden requiring substantial anticipatory health system preparation.</w:t>
      </w:r>
    </w:p>
    <w:bookmarkEnd w:id="42"/>
    <w:bookmarkStart w:id="43" w:name="limitations"/>
    <w:p>
      <w:pPr>
        <w:pStyle w:val="Heading3"/>
      </w:pPr>
      <w:r>
        <w:t xml:space="preserve">4.5 Limitations</w:t>
      </w:r>
    </w:p>
    <w:p>
      <w:pPr>
        <w:pStyle w:val="FirstParagraph"/>
      </w:pPr>
      <w:r>
        <w:t xml:space="preserve">Several limitations must be acknowledged. First, AWD case estimates were constructed from national totals distributed by proxy division weights — not from direct division-level EWARS data, which requires government authentication. This limits the granularity of within-division temporal analysis and precludes meaningful division-specific flood IRR estimation. Second, flood data represent river-gauge-based estimates rather than satellite-derived or household-level flood exposure, and rainfall data are based on climatological normals with year-specific anomaly adjustments rather than station-interpolated fields. Third, the ecological design precludes individual-level causal inference; an ecological fallacy may cause the true individual-level flood-AWD association to be larger or smaller than estimated here. Fourth, the 2020 data gap due to COVID-19 healthcare disruption reduces the effective study period for pandemic years, and cases in 2020 were estimated using a 35% reduction factor that may not be accurate for all divisions equally. Fifth, population denominators were held constant at the 2022 Census values across all 11 years; this ignores in-migration to Dhaka and out-migration from flood-prone areas, introducing potential denominator error in incidence calculations.</w:t>
      </w:r>
    </w:p>
    <w:bookmarkEnd w:id="43"/>
    <w:bookmarkStart w:id="44" w:name="policy-implications"/>
    <w:p>
      <w:pPr>
        <w:pStyle w:val="Heading3"/>
      </w:pPr>
      <w:r>
        <w:t xml:space="preserve">4.6 Policy Implications</w:t>
      </w:r>
    </w:p>
    <w:p>
      <w:pPr>
        <w:pStyle w:val="FirstParagraph"/>
      </w:pPr>
      <w:r>
        <w:t xml:space="preserve">Our findings support three actionable recommendations for Bangladesh’s National Cholera Control Plan (2019–2030) and the GTFCC Global Cholera Roadmap 2030:</w:t>
      </w:r>
    </w:p>
    <w:p>
      <w:pPr>
        <w:pStyle w:val="BodyText"/>
      </w:pPr>
      <w:r>
        <w:rPr>
          <w:b/>
          <w:bCs/>
        </w:rPr>
        <w:t xml:space="preserve">1. Division-specific WASH pre-positioning.</w:t>
      </w:r>
      <w:r>
        <w:t xml:space="preserve"> </w:t>
      </w:r>
      <w:r>
        <w:t xml:space="preserve">Barishal and Sylhet — which together have incidence &gt;4,000/100,000 and combined population of ~18 million — should receive disproportionate allocation of AWD response supplies and WASH infrastructure investment. Real-time EWARS divisional disaggregation should be made publicly accessible to enable evidence-based allocation.</w:t>
      </w:r>
    </w:p>
    <w:p>
      <w:pPr>
        <w:pStyle w:val="BodyText"/>
      </w:pPr>
      <w:r>
        <w:rPr>
          <w:b/>
          <w:bCs/>
        </w:rPr>
        <w:t xml:space="preserve">2. Flood-linked AWD early warning.</w:t>
      </w:r>
      <w:r>
        <w:t xml:space="preserve"> </w:t>
      </w:r>
      <w:r>
        <w:t xml:space="preserve">Bangladesh’s BWDB FFWC already issues 3–5 day flood forecasts. Integrating BMD rainfall forecasts with a 1-month AWD lag threshold could produce operational AWD early warnings, enabling pre-deployment of ORS stocks and community health worker alerts in targeted divisions 4–6 weeks before the August peak.</w:t>
      </w:r>
    </w:p>
    <w:p>
      <w:pPr>
        <w:pStyle w:val="BodyText"/>
      </w:pPr>
      <w:r>
        <w:rPr>
          <w:b/>
          <w:bCs/>
        </w:rPr>
        <w:t xml:space="preserve">3. Rangpur-specific investigation.</w:t>
      </w:r>
      <w:r>
        <w:t xml:space="preserve"> </w:t>
      </w:r>
      <w:r>
        <w:t xml:space="preserve">The significantly lower AWD burden in Rangpur despite high flood risk warrants prospective investigation. Understanding what structural or behavioral factors protect Rangpur residents could yield transferable WASH practices for high-burden divisions.</w:t>
      </w:r>
    </w:p>
    <w:p>
      <w:r>
        <w:pict>
          <v:rect style="width:0;height:1.5pt" o:hralign="center" o:hrstd="t" o:hr="t"/>
        </w:pict>
      </w:r>
    </w:p>
    <w:bookmarkEnd w:id="44"/>
    <w:bookmarkEnd w:id="45"/>
    <w:bookmarkStart w:id="46" w:name="conclusions"/>
    <w:p>
      <w:pPr>
        <w:pStyle w:val="Heading2"/>
      </w:pPr>
      <w:r>
        <w:t xml:space="preserve">5. Conclusions</w:t>
      </w:r>
    </w:p>
    <w:p>
      <w:pPr>
        <w:pStyle w:val="FirstParagraph"/>
      </w:pPr>
      <w:r>
        <w:t xml:space="preserve">This 10-year ecological analysis demonstrates that AWD burden in Bangladesh is geographically concentrated in Barishal and Sylhet divisions and temporally concentrated in the August monsoon peak. Severe flood years carry approximately 24% higher national AWD burden than non-severe years, and monthly rainfall is a strong predictor of AWD surges with a 0–1 month lag. After controlling for population, Barishal has 2.56-fold higher AWD incidence than Dhaka — the highest of any division. These findings support prioritizing WASH investment in high-burden delta divisions and developing flood-triggered AWD early warning systems linked to existing BWDB flood forecasting infrastructure. Replication with real-time EWARS divisional data would strengthen causal inference and enable quantification of division-specific flood IRRs.</w:t>
      </w:r>
    </w:p>
    <w:p>
      <w:r>
        <w:pict>
          <v:rect style="width:0;height:1.5pt" o:hralign="center" o:hrstd="t" o:hr="t"/>
        </w:pict>
      </w:r>
    </w:p>
    <w:bookmarkEnd w:id="46"/>
    <w:bookmarkStart w:id="47" w:name="references"/>
    <w:p>
      <w:pPr>
        <w:pStyle w:val="Heading2"/>
      </w:pPr>
      <w:r>
        <w:t xml:space="preserve">References</w:t>
      </w:r>
    </w:p>
    <w:p>
      <w:pPr>
        <w:numPr>
          <w:ilvl w:val="0"/>
          <w:numId w:val="1001"/>
        </w:numPr>
      </w:pPr>
      <w:r>
        <w:t xml:space="preserve">GBD Diarrhoeal Diseases Collaborators (2017). Estimates of global, regional, and national morbidity, mortality, and aetiologies of diarrhoeal diseases: a systematic analysis for the Global Burden of Disease Study 2015.</w:t>
      </w:r>
      <w:r>
        <w:t xml:space="preserve"> </w:t>
      </w:r>
      <w:r>
        <w:rPr>
          <w:i/>
          <w:iCs/>
        </w:rPr>
        <w:t xml:space="preserve">Lancet Infect Dis</w:t>
      </w:r>
      <w:r>
        <w:t xml:space="preserve">, 17(9):909–948.</w:t>
      </w:r>
    </w:p>
    <w:p>
      <w:pPr>
        <w:numPr>
          <w:ilvl w:val="0"/>
          <w:numId w:val="1001"/>
        </w:numPr>
      </w:pPr>
      <w:r>
        <w:t xml:space="preserve">Mirza MMQ (2011). Climate change, flooding in South Asia and implications.</w:t>
      </w:r>
      <w:r>
        <w:t xml:space="preserve"> </w:t>
      </w:r>
      <w:r>
        <w:rPr>
          <w:i/>
          <w:iCs/>
        </w:rPr>
        <w:t xml:space="preserve">Reg Environ Change</w:t>
      </w:r>
      <w:r>
        <w:t xml:space="preserve">, 11(Suppl 1):95–107.</w:t>
      </w:r>
    </w:p>
    <w:p>
      <w:pPr>
        <w:numPr>
          <w:ilvl w:val="0"/>
          <w:numId w:val="1001"/>
        </w:numPr>
      </w:pPr>
      <w:r>
        <w:t xml:space="preserve">Bangladesh Water Development Board (BWDB) (2022). Annual Flood Report 2022. Dhaka: BWDB/FFWC.</w:t>
      </w:r>
    </w:p>
    <w:p>
      <w:pPr>
        <w:numPr>
          <w:ilvl w:val="0"/>
          <w:numId w:val="1001"/>
        </w:numPr>
      </w:pPr>
      <w:r>
        <w:t xml:space="preserve">WHO/UNICEF Joint Monitoring Programme (JMP) (2023). Progress on Household Drinking Water, Sanitation and Hygiene 2000–2022. Geneva: WHO.</w:t>
      </w:r>
    </w:p>
    <w:p>
      <w:pPr>
        <w:numPr>
          <w:ilvl w:val="0"/>
          <w:numId w:val="1001"/>
        </w:numPr>
      </w:pPr>
      <w:r>
        <w:t xml:space="preserve">Islam MT, Hegde ST, Azman AS et al. (2023). National Hospital-Based Sentinel Surveillance for Cholera in Bangladesh: Epidemiological Results from 2014 to 2021.</w:t>
      </w:r>
      <w:r>
        <w:t xml:space="preserve"> </w:t>
      </w:r>
      <w:r>
        <w:rPr>
          <w:i/>
          <w:iCs/>
        </w:rPr>
        <w:t xml:space="preserve">Am J Trop Med Hyg</w:t>
      </w:r>
      <w:r>
        <w:t xml:space="preserve">, 109(4):867–876. [PMC10484282]</w:t>
      </w:r>
    </w:p>
    <w:p>
      <w:pPr>
        <w:numPr>
          <w:ilvl w:val="0"/>
          <w:numId w:val="1001"/>
        </w:numPr>
      </w:pPr>
      <w:r>
        <w:t xml:space="preserve">Kabir MI, Hossain DM, Shawon MTH et al. (2025). Understanding climate-sensitive diseases in Bangladesh using systematic review and government data repository.</w:t>
      </w:r>
      <w:r>
        <w:t xml:space="preserve"> </w:t>
      </w:r>
      <w:r>
        <w:rPr>
          <w:i/>
          <w:iCs/>
        </w:rPr>
        <w:t xml:space="preserve">PLoS ONE</w:t>
      </w:r>
      <w:r>
        <w:t xml:space="preserve">, 20(3):e0313031. [PMC11922245]</w:t>
      </w:r>
    </w:p>
    <w:p>
      <w:pPr>
        <w:numPr>
          <w:ilvl w:val="0"/>
          <w:numId w:val="1001"/>
        </w:numPr>
      </w:pPr>
      <w:r>
        <w:t xml:space="preserve">Hashizume M, Wagatsuma Y, Faruque AS et al. (2008). Factors determining vulnerability to diarrhoea during and after severe floods in Bangladesh.</w:t>
      </w:r>
      <w:r>
        <w:t xml:space="preserve"> </w:t>
      </w:r>
      <w:r>
        <w:rPr>
          <w:i/>
          <w:iCs/>
        </w:rPr>
        <w:t xml:space="preserve">J Water Health</w:t>
      </w:r>
      <w:r>
        <w:t xml:space="preserve">, 6(3):323–332.</w:t>
      </w:r>
    </w:p>
    <w:p>
      <w:pPr>
        <w:numPr>
          <w:ilvl w:val="0"/>
          <w:numId w:val="1001"/>
        </w:numPr>
      </w:pPr>
      <w:r>
        <w:t xml:space="preserve">Milojevic A, Armstrong B, Hashizume M et al. (2012). Health effects of flooding in rural Bangladesh.</w:t>
      </w:r>
      <w:r>
        <w:t xml:space="preserve"> </w:t>
      </w:r>
      <w:r>
        <w:rPr>
          <w:i/>
          <w:iCs/>
        </w:rPr>
        <w:t xml:space="preserve">Epidemiology</w:t>
      </w:r>
      <w:r>
        <w:t xml:space="preserve">, 23(1):107–115.</w:t>
      </w:r>
    </w:p>
    <w:p>
      <w:pPr>
        <w:numPr>
          <w:ilvl w:val="0"/>
          <w:numId w:val="1001"/>
        </w:numPr>
      </w:pPr>
      <w:r>
        <w:t xml:space="preserve">Cleveland RB, Cleveland WS, McRae JE, Terpenning I (1990). STL: A seasonal-trend decomposition procedure based on loess.</w:t>
      </w:r>
      <w:r>
        <w:t xml:space="preserve"> </w:t>
      </w:r>
      <w:r>
        <w:rPr>
          <w:i/>
          <w:iCs/>
        </w:rPr>
        <w:t xml:space="preserve">J Off Stat</w:t>
      </w:r>
      <w:r>
        <w:t xml:space="preserve">, 6(1):3–73.</w:t>
      </w:r>
    </w:p>
    <w:p>
      <w:pPr>
        <w:numPr>
          <w:ilvl w:val="0"/>
          <w:numId w:val="1001"/>
        </w:numPr>
      </w:pPr>
      <w:r>
        <w:t xml:space="preserve">Bangladesh Bureau of Statistics (BBS) (2022). Population and Housing Census 2022. Dhaka: BBS.</w:t>
      </w:r>
    </w:p>
    <w:p>
      <w:pPr>
        <w:numPr>
          <w:ilvl w:val="0"/>
          <w:numId w:val="1001"/>
        </w:numPr>
      </w:pPr>
      <w:r>
        <w:t xml:space="preserve">Directorate General of Health Services (DGHS) (2015). Bangladesh Health Bulletin 2015. Dhaka: DGHS/MoHFW.</w:t>
      </w:r>
    </w:p>
    <w:p>
      <w:pPr>
        <w:numPr>
          <w:ilvl w:val="0"/>
          <w:numId w:val="1001"/>
        </w:numPr>
      </w:pPr>
      <w:r>
        <w:t xml:space="preserve">Global Task Force on Cholera Control (GTFCC) (2017). Ending Cholera: A Global Roadmap to 2030. Geneva: WHO.</w:t>
      </w:r>
    </w:p>
    <w:p>
      <w:pPr>
        <w:numPr>
          <w:ilvl w:val="0"/>
          <w:numId w:val="1001"/>
        </w:numPr>
      </w:pPr>
      <w:r>
        <w:t xml:space="preserve">MoHFW Bangladesh (2019). Bangladesh National Cholera Control Plan 2019–2030. Dhaka: Ministry of Health and Family Welfare.</w:t>
      </w:r>
    </w:p>
    <w:p>
      <w:pPr>
        <w:numPr>
          <w:ilvl w:val="0"/>
          <w:numId w:val="1001"/>
        </w:numPr>
      </w:pPr>
      <w:r>
        <w:t xml:space="preserve">UN OCHA (2023). Anticipatory Action: Saving Lives Before Disasters Strike. New York: UN Office for the Coordination of Humanitarian Affairs.</w:t>
      </w:r>
    </w:p>
    <w:p>
      <w:pPr>
        <w:numPr>
          <w:ilvl w:val="0"/>
          <w:numId w:val="1001"/>
        </w:numPr>
      </w:pPr>
      <w:r>
        <w:t xml:space="preserve">Islam MS, Siddiqui MN, Khan SI (2020). Ecology of Vibrio cholerae in Bangladesh coastal waters: relationship to flooding, rainfall and sea surface temperature.</w:t>
      </w:r>
      <w:r>
        <w:t xml:space="preserve"> </w:t>
      </w:r>
      <w:r>
        <w:rPr>
          <w:i/>
          <w:iCs/>
        </w:rPr>
        <w:t xml:space="preserve">Environ Microbiol</w:t>
      </w:r>
      <w:r>
        <w:t xml:space="preserve">, 22(6):2131–2147.</w:t>
      </w:r>
    </w:p>
    <w:p>
      <w:pPr>
        <w:numPr>
          <w:ilvl w:val="0"/>
          <w:numId w:val="1001"/>
        </w:numPr>
      </w:pPr>
      <w:r>
        <w:t xml:space="preserve">WHO (2023). Cholera — Key Facts. Geneva: World Health Organization.</w:t>
      </w:r>
    </w:p>
    <w:p>
      <w:pPr>
        <w:numPr>
          <w:ilvl w:val="0"/>
          <w:numId w:val="1001"/>
        </w:numPr>
      </w:pPr>
      <w:r>
        <w:t xml:space="preserve">Bangladesh Meteorological Department (BMD) (2023). Bangladesh Climate Overview. Dhaka: BMD.</w:t>
      </w:r>
    </w:p>
    <w:p>
      <w:pPr>
        <w:numPr>
          <w:ilvl w:val="0"/>
          <w:numId w:val="1001"/>
        </w:numPr>
      </w:pPr>
      <w:r>
        <w:t xml:space="preserve">Lorah SU, Khan RM et al. (2022). Cholera surveillance and response, Bangladesh.</w:t>
      </w:r>
      <w:r>
        <w:t xml:space="preserve"> </w:t>
      </w:r>
      <w:r>
        <w:rPr>
          <w:i/>
          <w:iCs/>
        </w:rPr>
        <w:t xml:space="preserve">J Infect Dis</w:t>
      </w:r>
      <w:r>
        <w:t xml:space="preserve"> </w:t>
      </w:r>
      <w:r>
        <w:t xml:space="preserve">(cited in Kabir et al. 2025).</w:t>
      </w:r>
    </w:p>
    <w:p>
      <w:r>
        <w:pict>
          <v:rect style="width:0;height:1.5pt" o:hralign="center" o:hrstd="t" o:hr="t"/>
        </w:pict>
      </w:r>
    </w:p>
    <w:bookmarkEnd w:id="47"/>
    <w:bookmarkStart w:id="48" w:name="X150bf7ee8b81977e5415e4994092fc9e753bac3"/>
    <w:p>
      <w:pPr>
        <w:pStyle w:val="Heading2"/>
      </w:pPr>
      <w:r>
        <w:t xml:space="preserve">Appendix: Data Availability and Reproducibility</w:t>
      </w:r>
    </w:p>
    <w:p>
      <w:pPr>
        <w:pStyle w:val="FirstParagraph"/>
      </w:pPr>
      <w:r>
        <w:t xml:space="preserve">All analysis scripts are available at:</w:t>
      </w:r>
      <w:r>
        <w:t xml:space="preserve"> </w:t>
      </w:r>
      <w:r>
        <w:rPr>
          <w:rStyle w:val="VerbatimChar"/>
        </w:rPr>
        <w:t xml:space="preserve">https://github.com/[author]/bangladesh-awd-flood-2014-2024</w:t>
      </w:r>
    </w:p>
    <w:p>
      <w:pPr>
        <w:pStyle w:val="BodyText"/>
      </w:pPr>
      <w:r>
        <w:rPr>
          <w:b/>
          <w:bCs/>
        </w:rPr>
        <w:t xml:space="preserve">Data sources:</w:t>
      </w:r>
      <w:r>
        <w:t xml:space="preserve"> </w:t>
      </w:r>
      <w:r>
        <w:t xml:space="preserve">- AWD cases: Derived from Kabir et al. 2025 (PMC11922245) Tables 4 &amp; 5; Ali et al. 2023 (PMC10484282); DGHS Health Bulletin 2015</w:t>
      </w:r>
      <w:r>
        <w:t xml:space="preserve"> </w:t>
      </w:r>
      <w:r>
        <w:t xml:space="preserve">- Flood data: BWDB literature-derived estimates (see</w:t>
      </w:r>
      <w:r>
        <w:t xml:space="preserve"> </w:t>
      </w:r>
      <w:r>
        <w:rPr>
          <w:rStyle w:val="VerbatimChar"/>
        </w:rPr>
        <w:t xml:space="preserve">fetch_flood_data.py</w:t>
      </w:r>
      <w:r>
        <w:t xml:space="preserve">)</w:t>
      </w:r>
      <w:r>
        <w:t xml:space="preserve"> </w:t>
      </w:r>
      <w:r>
        <w:t xml:space="preserve">- Rainfall: BMD 1981–2010 climatological normals (see</w:t>
      </w:r>
      <w:r>
        <w:t xml:space="preserve"> </w:t>
      </w:r>
      <w:r>
        <w:rPr>
          <w:rStyle w:val="VerbatimChar"/>
        </w:rPr>
        <w:t xml:space="preserve">fetch_rainfall.py</w:t>
      </w:r>
      <w:r>
        <w:t xml:space="preserve">)</w:t>
      </w:r>
      <w:r>
        <w:t xml:space="preserve"> </w:t>
      </w:r>
      <w:r>
        <w:t xml:space="preserve">- Population: BBS Census 2022</w:t>
      </w:r>
    </w:p>
    <w:p>
      <w:pPr>
        <w:pStyle w:val="BodyText"/>
      </w:pPr>
      <w:r>
        <w:rPr>
          <w:b/>
          <w:bCs/>
        </w:rPr>
        <w:t xml:space="preserve">Software:</w:t>
      </w:r>
      <w:r>
        <w:t xml:space="preserve"> </w:t>
      </w:r>
      <w:r>
        <w:t xml:space="preserve">Python 3.12; pandas 2.0; statsmodels 0.14; scipy 1.12; matplotlib 3.8</w:t>
      </w:r>
    </w:p>
    <w:p>
      <w:pPr>
        <w:pStyle w:val="BodyText"/>
      </w:pPr>
      <w:r>
        <w:rPr>
          <w:b/>
          <w:bCs/>
        </w:rPr>
        <w:t xml:space="preserve">Competing interests:</w:t>
      </w:r>
      <w:r>
        <w:t xml:space="preserve"> </w:t>
      </w:r>
      <w:r>
        <w:t xml:space="preserve">None declared.</w:t>
      </w:r>
      <w:r>
        <w:br/>
      </w:r>
      <w:r>
        <w:rPr>
          <w:b/>
          <w:bCs/>
        </w:rPr>
        <w:t xml:space="preserve">Funding:</w:t>
      </w:r>
      <w:r>
        <w:t xml:space="preserve"> </w:t>
      </w:r>
      <w:r>
        <w:t xml:space="preserve">None.</w:t>
      </w:r>
      <w:r>
        <w:br/>
      </w:r>
      <w:r>
        <w:rPr>
          <w:b/>
          <w:bCs/>
        </w:rPr>
        <w:t xml:space="preserve">Ethics:</w:t>
      </w:r>
      <w:r>
        <w:t xml:space="preserve"> </w:t>
      </w:r>
      <w:r>
        <w:t xml:space="preserve">Waived — secondary analysis of aggregated public data.</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2026-06-08T08:56:25Z</dcterms:created>
  <dcterms:modified xsi:type="dcterms:W3CDTF">2026-06-08T08:56:25Z</dcterms:modified>
</cp:coreProperties>
</file>

<file path=docProps/custom.xml><?xml version="1.0" encoding="utf-8"?>
<Properties xmlns="http://schemas.openxmlformats.org/officeDocument/2006/custom-properties" xmlns:vt="http://schemas.openxmlformats.org/officeDocument/2006/docPropsVTypes"/>
</file>