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320"/>
        <w:jc w:val="center"/>
      </w:pPr>
      <w:r>
        <w:rPr>
          <w:rFonts w:ascii="Times New Roman" w:hAnsi="Times New Roman"/>
          <w:b/>
          <w:i w:val="0"/>
          <w:sz w:val="32"/>
        </w:rPr>
        <w:t>Epidemiology of the 2026 Measles Outbreak in Bangladesh: A Descriptive Analysis of National Surveillance Data with Vaccine Coverage Assessment</w:t>
      </w:r>
    </w:p>
    <w:p>
      <w:pPr>
        <w:spacing w:after="120"/>
        <w:jc w:val="center"/>
      </w:pPr>
      <w:r>
        <w:rPr>
          <w:rFonts w:ascii="Times New Roman" w:hAnsi="Times New Roman"/>
          <w:b/>
          <w:i w:val="0"/>
          <w:sz w:val="24"/>
        </w:rPr>
        <w:t>Khalilur Rahman Ridoy Khan</w:t>
      </w:r>
    </w:p>
    <w:p>
      <w:pPr>
        <w:spacing w:after="80"/>
        <w:jc w:val="center"/>
      </w:pPr>
      <w:r>
        <w:rPr>
          <w:rFonts w:ascii="Times New Roman" w:hAnsi="Times New Roman"/>
          <w:b w:val="0"/>
          <w:i/>
          <w:sz w:val="22"/>
        </w:rPr>
        <w:t>Department of Computer Science and Engineering</w:t>
        <w:br/>
        <w:t>East West University, Dhaka, Bangladesh</w:t>
      </w:r>
    </w:p>
    <w:p>
      <w:pPr>
        <w:spacing w:after="80"/>
        <w:jc w:val="center"/>
      </w:pPr>
      <w:r>
        <w:rPr>
          <w:rFonts w:ascii="Times New Roman" w:hAnsi="Times New Roman"/>
          <w:b w:val="0"/>
          <w:i w:val="0"/>
          <w:sz w:val="20"/>
        </w:rPr>
        <w:t>Correspondence: khalilurrahmanridoykhan@gmail.com</w:t>
      </w:r>
    </w:p>
    <w:p>
      <w:pPr>
        <w:spacing w:after="80"/>
        <w:jc w:val="center"/>
      </w:pPr>
      <w:r>
        <w:rPr>
          <w:rFonts w:ascii="Times New Roman" w:hAnsi="Times New Roman"/>
          <w:b w:val="0"/>
          <w:i w:val="0"/>
          <w:sz w:val="20"/>
        </w:rPr>
        <w:t>Date: June 2026</w:t>
      </w:r>
    </w:p>
    <w:p>
      <w:pPr>
        <w:spacing w:after="80"/>
        <w:jc w:val="center"/>
      </w:pPr>
      <w:r>
        <w:rPr>
          <w:rFonts w:ascii="Times New Roman" w:hAnsi="Times New Roman"/>
          <w:b w:val="0"/>
          <w:i/>
          <w:sz w:val="20"/>
        </w:rPr>
        <w:t>Data &amp; Code: https://github.com/khalilurrrahmanridoykhan/bangladesh-measles-2026</w:t>
      </w:r>
    </w:p>
    <w:p>
      <w:pPr>
        <w:spacing w:after="400"/>
        <w:jc w:val="center"/>
      </w:pPr>
      <w:r>
        <w:rPr>
          <w:rFonts w:ascii="Times New Roman" w:hAnsi="Times New Roman"/>
          <w:b w:val="0"/>
          <w:i/>
          <w:sz w:val="20"/>
        </w:rPr>
        <w:t>Keywords: measles; হাম; Bangladesh; outbreak; epidemiology; vaccine-preventable disease; DGHS; surveillance; 2026</w:t>
      </w:r>
    </w:p>
    <w:p>
      <w:r>
        <w:br w:type="page"/>
      </w:r>
    </w:p>
    <w:p>
      <w:pPr>
        <w:spacing w:before="0" w:after="120"/>
      </w:pPr>
      <w:r>
        <w:rPr>
          <w:rFonts w:ascii="Times New Roman" w:hAnsi="Times New Roman"/>
          <w:b/>
          <w:i w:val="0"/>
          <w:sz w:val="28"/>
        </w:rPr>
        <w:t>Abstract</w:t>
      </w:r>
    </w:p>
    <w:p>
      <w:pPr>
        <w:spacing w:after="120"/>
        <w:jc w:val="both"/>
      </w:pPr>
      <w:r>
        <w:rPr>
          <w:rFonts w:ascii="Times New Roman" w:hAnsi="Times New Roman"/>
          <w:b/>
          <w:i w:val="0"/>
          <w:sz w:val="24"/>
        </w:rPr>
        <w:t xml:space="preserve">Background: </w:t>
      </w:r>
      <w:r>
        <w:rPr>
          <w:rFonts w:ascii="Times New Roman" w:hAnsi="Times New Roman"/>
          <w:b w:val="0"/>
          <w:i w:val="0"/>
          <w:sz w:val="24"/>
        </w:rPr>
        <w:t>Bangladesh has experienced a large-scale measles outbreak since March 2026, coinciding with a national Measles-Rubella (MR) immunisation campaign. This study describes the epidemiological characteristics of the outbreak using publicly available daily surveillance data published by the Directorate General of Health Services (DGHS).</w:t>
      </w:r>
    </w:p>
    <w:p>
      <w:pPr>
        <w:spacing w:after="120"/>
        <w:jc w:val="both"/>
      </w:pPr>
      <w:r>
        <w:rPr>
          <w:rFonts w:ascii="Times New Roman" w:hAnsi="Times New Roman"/>
          <w:b/>
          <w:i w:val="0"/>
          <w:sz w:val="24"/>
        </w:rPr>
        <w:t xml:space="preserve">Methods: </w:t>
      </w:r>
      <w:r>
        <w:rPr>
          <w:rFonts w:ascii="Times New Roman" w:hAnsi="Times New Roman"/>
          <w:b w:val="0"/>
          <w:i w:val="0"/>
          <w:sz w:val="24"/>
        </w:rPr>
        <w:t>We extracted structured data from 62 consecutive daily press release PDFs published by DGHS (2 April to 2 June 2026) using automated web scraping and PDF text extraction. We analysed temporal trends, geographic distribution across eight administrative divisions, mortality, and the relationship between MR campaign vaccination coverage and division-level incidence rates.</w:t>
      </w:r>
    </w:p>
    <w:p>
      <w:pPr>
        <w:spacing w:after="120"/>
        <w:jc w:val="both"/>
      </w:pPr>
      <w:r>
        <w:rPr>
          <w:rFonts w:ascii="Times New Roman" w:hAnsi="Times New Roman"/>
          <w:b/>
          <w:i w:val="0"/>
          <w:sz w:val="24"/>
        </w:rPr>
        <w:t xml:space="preserve">Results: </w:t>
      </w:r>
      <w:r>
        <w:rPr>
          <w:rFonts w:ascii="Times New Roman" w:hAnsi="Times New Roman"/>
          <w:b w:val="0"/>
          <w:i w:val="0"/>
          <w:sz w:val="24"/>
        </w:rPr>
        <w:t>A total of 73,362 suspected and 9,136 confirmed measles cases were reported during the study period (confirmation rate 12.5%). A total of 59,106 patients were hospitalised and 54,812 (92.7%) recovered. Suspected and confirmed deaths numbered 504 and 90, respectively (confirmed case fatality rate 0.99%). The outbreak grew rapidly in its early phase, with a doubling time of 6.1 days. Peak daily suspected cases reached 1,503 on 10 May 2026. Dhaka division accounted for 47.0% of all confirmed cases (34,497 cases; incidence 95.7 per 100,000 population), followed by Chattogram (16.0%) and Rajshahi (12.6%). National MR campaign coverage was 102%; however, Pearson correlation between division-level coverage and incidence was non-significant (r = 0.10, p = 0.82), indicating that the campaign did not prevent ongoing transmission in divisions with pre-existing immunity gaps.</w:t>
      </w:r>
    </w:p>
    <w:p>
      <w:pPr>
        <w:spacing w:after="120"/>
        <w:jc w:val="both"/>
      </w:pPr>
      <w:r>
        <w:rPr>
          <w:rFonts w:ascii="Times New Roman" w:hAnsi="Times New Roman"/>
          <w:b/>
          <w:i w:val="0"/>
          <w:sz w:val="24"/>
        </w:rPr>
        <w:t xml:space="preserve">Conclusions: </w:t>
      </w:r>
      <w:r>
        <w:rPr>
          <w:rFonts w:ascii="Times New Roman" w:hAnsi="Times New Roman"/>
          <w:b w:val="0"/>
          <w:i w:val="0"/>
          <w:sz w:val="24"/>
        </w:rPr>
        <w:t>This outbreak represents one of the largest measles events recorded in Bangladesh. Despite high MR campaign coverage, urban transmission persisted — particularly in Dhaka. Strengthening routine immunisation, improving cold-chain management, and targeting high-density urban populations are essential to interrupt transmission and prevent future outbreaks.</w:t>
      </w:r>
    </w:p>
    <w:p>
      <w:r>
        <w:br w:type="page"/>
      </w:r>
    </w:p>
    <w:p>
      <w:pPr>
        <w:spacing w:before="240" w:after="120"/>
      </w:pPr>
      <w:r>
        <w:rPr>
          <w:rFonts w:ascii="Times New Roman" w:hAnsi="Times New Roman"/>
          <w:b/>
          <w:i w:val="0"/>
          <w:sz w:val="26"/>
        </w:rPr>
        <w:t>1. Introduction</w:t>
      </w:r>
    </w:p>
    <w:p>
      <w:pPr>
        <w:spacing w:before="0" w:after="120"/>
        <w:ind w:firstLine="576"/>
        <w:jc w:val="both"/>
      </w:pPr>
      <w:r>
        <w:rPr>
          <w:rFonts w:ascii="Times New Roman" w:hAnsi="Times New Roman"/>
          <w:b w:val="0"/>
          <w:i w:val="0"/>
          <w:sz w:val="24"/>
        </w:rPr>
        <w:t>Measles remains one of the most contagious infectious diseases known to medicine, with a basic reproduction number (R₀) estimated between 12 and 18. Despite the existence of a safe, effective, and affordable vaccine, measles caused an estimated 136,000 deaths globally in 2022, the majority among children under five years of age (World Health Organization [WHO], 2023). Following disruptions to routine immunisation services during the COVID-19 pandemic (2020–2022), a global resurgence of measles has been observed, with large outbreaks reported across Africa, South-East Asia, and the Eastern Mediterranean region.</w:t>
      </w:r>
    </w:p>
    <w:p>
      <w:pPr>
        <w:spacing w:before="0" w:after="120"/>
        <w:ind w:firstLine="576"/>
        <w:jc w:val="both"/>
      </w:pPr>
      <w:r>
        <w:rPr>
          <w:rFonts w:ascii="Times New Roman" w:hAnsi="Times New Roman"/>
          <w:b w:val="0"/>
          <w:i w:val="0"/>
          <w:sz w:val="24"/>
        </w:rPr>
        <w:t>Bangladesh, a densely populated lower-middle-income country with approximately 170 million inhabitants, has maintained an Expanded Programme on Immunisation (EPI) since 1979. The measles vaccine was introduced into the national schedule in 1980, and a two-dose schedule — measles-rubella (MR) vaccine at 9 and 15 months — has been in place since 2012. Bangladesh had previously achieved measles vaccination coverage exceeding 95% in many districts, and no major nationwide outbreak had been documented for several years prior to 2026.</w:t>
      </w:r>
    </w:p>
    <w:p>
      <w:pPr>
        <w:spacing w:before="0" w:after="120"/>
        <w:ind w:firstLine="576"/>
        <w:jc w:val="both"/>
      </w:pPr>
      <w:r>
        <w:rPr>
          <w:rFonts w:ascii="Times New Roman" w:hAnsi="Times New Roman"/>
          <w:b w:val="0"/>
          <w:i w:val="0"/>
          <w:sz w:val="24"/>
        </w:rPr>
        <w:t>In March 2026, the DGHS activated its Integrated Control Centre (Control Room) in response to a sharp rise in febrile rash illness consistent with measles across multiple divisions. Daily situation reports were published publicly from 15 March 2026, providing a rare opportunity for granular, real-time epidemiological analysis using government surveillance data. By 2 June 2026, more than 73,000 suspected cases had been reported nationally.</w:t>
      </w:r>
    </w:p>
    <w:p>
      <w:pPr>
        <w:spacing w:before="0" w:after="120"/>
        <w:ind w:firstLine="576"/>
        <w:jc w:val="both"/>
      </w:pPr>
      <w:r>
        <w:rPr>
          <w:rFonts w:ascii="Times New Roman" w:hAnsi="Times New Roman"/>
          <w:b w:val="0"/>
          <w:i w:val="0"/>
          <w:sz w:val="24"/>
        </w:rPr>
        <w:t>This study has three objectives: (i) to describe the temporal trajectory of the 2026 Bangladesh measles outbreak using 62 days of daily national surveillance data; (ii) to characterise the geographic distribution of the outbreak burden across Bangladesh's eight administrative divisions; and (iii) to assess the relationship between the 2026 national Measles-Rubella immunisation campaign coverage and division-level measles incidence.</w:t>
      </w:r>
    </w:p>
    <w:p>
      <w:pPr>
        <w:spacing w:before="240" w:after="120"/>
      </w:pPr>
      <w:r>
        <w:rPr>
          <w:rFonts w:ascii="Times New Roman" w:hAnsi="Times New Roman"/>
          <w:b/>
          <w:i w:val="0"/>
          <w:sz w:val="26"/>
        </w:rPr>
        <w:t>2. Methods</w:t>
      </w:r>
    </w:p>
    <w:p>
      <w:pPr>
        <w:spacing w:before="160" w:after="120"/>
      </w:pPr>
      <w:r>
        <w:rPr>
          <w:rFonts w:ascii="Times New Roman" w:hAnsi="Times New Roman"/>
          <w:b/>
          <w:i w:val="0"/>
          <w:sz w:val="24"/>
        </w:rPr>
        <w:t>2.1 Data Source</w:t>
      </w:r>
    </w:p>
    <w:p>
      <w:pPr>
        <w:spacing w:before="0" w:after="120"/>
        <w:ind w:firstLine="576"/>
        <w:jc w:val="both"/>
      </w:pPr>
      <w:r>
        <w:rPr>
          <w:rFonts w:ascii="Times New Roman" w:hAnsi="Times New Roman"/>
          <w:b w:val="0"/>
          <w:i w:val="0"/>
          <w:sz w:val="24"/>
        </w:rPr>
        <w:t>Data were sourced exclusively from publicly available daily press release PDFs published by the DGHS of the Government of Bangladesh (https://dghs.gov.bd/pages/press-releases/). Each press release is a structured three-page PDF document produced by the DGHS Integrated Control Centre and signed by the Additional Director General (Administration). The documents report: (i) national suspected and confirmed measles cases in the preceding 24 hours and cumulatively from 15 March 2026; (ii) suspected and confirmed deaths; (iii) hospitalisation and recovery counts; (iv) division-level breakdowns of the above; and (v) Measles-Rubella Campaign 2026 vaccination coverage by division and city corporation.</w:t>
      </w:r>
    </w:p>
    <w:p>
      <w:pPr>
        <w:spacing w:before="160" w:after="120"/>
      </w:pPr>
      <w:r>
        <w:rPr>
          <w:rFonts w:ascii="Times New Roman" w:hAnsi="Times New Roman"/>
          <w:b/>
          <w:i w:val="0"/>
          <w:sz w:val="24"/>
        </w:rPr>
        <w:t>2.2 Data Collection</w:t>
      </w:r>
    </w:p>
    <w:p>
      <w:pPr>
        <w:spacing w:before="0" w:after="120"/>
        <w:ind w:firstLine="576"/>
        <w:jc w:val="both"/>
      </w:pPr>
      <w:r>
        <w:rPr>
          <w:rFonts w:ascii="Times New Roman" w:hAnsi="Times New Roman"/>
          <w:b w:val="0"/>
          <w:i w:val="0"/>
          <w:sz w:val="24"/>
        </w:rPr>
        <w:t>Automated data collection was conducted using custom Python scripts (Python 3.14; libraries: requests, BeautifulSoup4, pdfplumber). The scraper retrieved the HTML listing page, identified all press releases containing the keyword 'হাম' (measles), extracted the direct PDF object URL from each detail page, downloaded each PDF, and extracted structured text. Bangla numeral characters (০–৯) were converted to Western Arabic numerals (0–9) prior to parsing. All scripts and the resulting clean datasets are available at the public GitHub repository: https://github.com/khalilurrrahmanridoykhan/bangladesh-measles-2026.</w:t>
      </w:r>
    </w:p>
    <w:p>
      <w:pPr>
        <w:spacing w:before="160" w:after="120"/>
      </w:pPr>
      <w:r>
        <w:rPr>
          <w:rFonts w:ascii="Times New Roman" w:hAnsi="Times New Roman"/>
          <w:b/>
          <w:i w:val="0"/>
          <w:sz w:val="24"/>
        </w:rPr>
        <w:t>2.3 Variables</w:t>
      </w:r>
    </w:p>
    <w:p>
      <w:pPr>
        <w:spacing w:before="0" w:after="120"/>
        <w:ind w:firstLine="576"/>
        <w:jc w:val="both"/>
      </w:pPr>
      <w:r>
        <w:rPr>
          <w:rFonts w:ascii="Times New Roman" w:hAnsi="Times New Roman"/>
          <w:b w:val="0"/>
          <w:i w:val="0"/>
          <w:sz w:val="24"/>
        </w:rPr>
        <w:t>For each reporting day we extracted: daily suspected cases, cumulative suspected cases, daily confirmed cases, cumulative confirmed cases, cumulative hospitalisations, cumulative recoveries, daily suspected deaths, cumulative suspected deaths, daily confirmed deaths, and cumulative confirmed deaths. Division-level data (eight divisions) were extracted from page two of each PDF. Measles-Rubella Campaign 2026 coverage data (target population, doses administered, coverage percentage) were extracted from pages two and three.</w:t>
      </w:r>
    </w:p>
    <w:p>
      <w:pPr>
        <w:spacing w:before="160" w:after="120"/>
      </w:pPr>
      <w:r>
        <w:rPr>
          <w:rFonts w:ascii="Times New Roman" w:hAnsi="Times New Roman"/>
          <w:b/>
          <w:i w:val="0"/>
          <w:sz w:val="24"/>
        </w:rPr>
        <w:t>2.4 Case Definitions</w:t>
      </w:r>
    </w:p>
    <w:p>
      <w:pPr>
        <w:spacing w:before="0" w:after="120"/>
        <w:ind w:firstLine="576"/>
        <w:jc w:val="both"/>
      </w:pPr>
      <w:r>
        <w:rPr>
          <w:rFonts w:ascii="Times New Roman" w:hAnsi="Times New Roman"/>
          <w:b w:val="0"/>
          <w:i w:val="0"/>
          <w:sz w:val="24"/>
        </w:rPr>
        <w:t>Case definitions follow those used by DGHS, which are aligned with WHO 2018 measles surveillance guidelines. A suspected case is defined as any person with fever and generalised maculopapular rash, plus at least one of: cough, coryza, or conjunctivitis. A confirmed case is a suspected case with laboratory confirmation (measles IgM serology or viral isolation) or epidemiologic linkage to a laboratory-confirmed case.</w:t>
      </w:r>
    </w:p>
    <w:p>
      <w:pPr>
        <w:spacing w:before="160" w:after="120"/>
      </w:pPr>
      <w:r>
        <w:rPr>
          <w:rFonts w:ascii="Times New Roman" w:hAnsi="Times New Roman"/>
          <w:b/>
          <w:i w:val="0"/>
          <w:sz w:val="24"/>
        </w:rPr>
        <w:t>2.5 Statistical Analysis</w:t>
      </w:r>
    </w:p>
    <w:p>
      <w:pPr>
        <w:spacing w:before="0" w:after="120"/>
        <w:ind w:firstLine="576"/>
        <w:jc w:val="both"/>
      </w:pPr>
      <w:r>
        <w:rPr>
          <w:rFonts w:ascii="Times New Roman" w:hAnsi="Times New Roman"/>
          <w:b w:val="0"/>
          <w:i w:val="0"/>
          <w:sz w:val="24"/>
        </w:rPr>
        <w:t>Descriptive statistics were computed for national and division-level indicators. The epidemic curve was plotted as a bar chart of daily suspected and confirmed cases, with a seven-day centred rolling average overlay. Cumulative case trajectories were plotted for suspected, confirmed, hospitalised, recovered, and suspected death counts. The doubling time during the exponential growth phase (first 14 days) was estimated using log-linear regression: ln(cumulative suspected cases) = α + β·day, with doubling time calculated as ln(2)/β. Incidence rates were calculated per 100,000 population using division-level population estimates from the Bangladesh Population and Housing Census 2022 (Bangladesh Bureau of Statistics). The Pearson correlation coefficient was used to assess the relationship between division-level MR campaign coverage (%) and confirmed measles incidence per 100,000. All analyses were performed in Python 3.14 (pandas 3.0, matplotlib 3.10, scipy 1.17). Statistical significance was set at p &lt; 0.05.</w:t>
      </w:r>
    </w:p>
    <w:p>
      <w:pPr>
        <w:spacing w:before="160" w:after="120"/>
      </w:pPr>
      <w:r>
        <w:rPr>
          <w:rFonts w:ascii="Times New Roman" w:hAnsi="Times New Roman"/>
          <w:b/>
          <w:i w:val="0"/>
          <w:sz w:val="24"/>
        </w:rPr>
        <w:t>2.6 Ethics</w:t>
      </w:r>
    </w:p>
    <w:p>
      <w:pPr>
        <w:spacing w:before="0" w:after="120"/>
        <w:ind w:firstLine="576"/>
        <w:jc w:val="both"/>
      </w:pPr>
      <w:r>
        <w:rPr>
          <w:rFonts w:ascii="Times New Roman" w:hAnsi="Times New Roman"/>
          <w:b w:val="0"/>
          <w:i w:val="0"/>
          <w:sz w:val="24"/>
        </w:rPr>
        <w:t>This study used only publicly available, aggregated government surveillance data. No individual patient data, identifiable information, or private records were accessed. Formal ethics review board approval was not required.</w:t>
      </w:r>
    </w:p>
    <w:p>
      <w:pPr>
        <w:spacing w:before="240" w:after="120"/>
      </w:pPr>
      <w:r>
        <w:rPr>
          <w:rFonts w:ascii="Times New Roman" w:hAnsi="Times New Roman"/>
          <w:b/>
          <w:i w:val="0"/>
          <w:sz w:val="26"/>
        </w:rPr>
        <w:t>3. Results</w:t>
      </w:r>
    </w:p>
    <w:p>
      <w:pPr>
        <w:spacing w:before="160" w:after="120"/>
      </w:pPr>
      <w:r>
        <w:rPr>
          <w:rFonts w:ascii="Times New Roman" w:hAnsi="Times New Roman"/>
          <w:b/>
          <w:i w:val="0"/>
          <w:sz w:val="24"/>
        </w:rPr>
        <w:t>3.1 National Overview</w:t>
      </w:r>
    </w:p>
    <w:p>
      <w:pPr>
        <w:spacing w:before="0" w:after="120"/>
        <w:ind w:firstLine="576"/>
        <w:jc w:val="both"/>
      </w:pPr>
      <w:r>
        <w:rPr>
          <w:rFonts w:ascii="Times New Roman" w:hAnsi="Times New Roman"/>
          <w:b w:val="0"/>
          <w:i w:val="0"/>
          <w:sz w:val="24"/>
        </w:rPr>
        <w:t>Over the 62-day study period (2 April to 2 June 2026), a total of 73,362 suspected and 9,136 confirmed measles cases were reported nationally, yielding a confirmation rate of 12.5% (Table 1). A total of 59,106 patients were admitted to hospital, of whom 54,812 (92.7%) were recorded as recovered by the end of the study period, leaving an estimated 4,294 active cases on 2 June 2026. Suspected deaths totalled 504 (suspected case fatality rate [CFR] 0.69%), while confirmed deaths numbered 90 (confirmed CFR 0.99%).</w:t>
      </w:r>
    </w:p>
    <w:p>
      <w:pPr>
        <w:spacing w:before="200" w:after="80"/>
      </w:pPr>
      <w:r>
        <w:rPr>
          <w:rFonts w:ascii="Times New Roman" w:hAnsi="Times New Roman"/>
          <w:b/>
          <w:i w:val="0"/>
          <w:sz w:val="22"/>
        </w:rPr>
        <w:t>Table 1. National Summary Statistics — Bangladesh Measles Outbreak, 2 April to 2 June 2026</w:t>
      </w:r>
    </w:p>
    <w:tbl>
      <w:tblPr>
        <w:tblStyle w:val="TableGrid"/>
        <w:tblW w:type="auto" w:w="0"/>
        <w:jc w:val="center"/>
        <w:tblLook w:firstColumn="1" w:firstRow="1" w:lastColumn="0" w:lastRow="0" w:noHBand="0" w:noVBand="1" w:val="04A0"/>
      </w:tblPr>
      <w:tblGrid>
        <w:gridCol w:w="4561"/>
        <w:gridCol w:w="4561"/>
      </w:tblGrid>
      <w:tr>
        <w:tc>
          <w:tcPr>
            <w:tcW w:type="dxa" w:w="5040"/>
            <w:shd w:fill="2E75B6" w:val="clear"/>
            <w:vAlign w:val="center"/>
          </w:tcPr>
          <w:p>
            <w:pPr>
              <w:jc w:val="center"/>
            </w:pPr>
            <w:r>
              <w:rPr>
                <w:rFonts w:ascii="Times New Roman" w:hAnsi="Times New Roman"/>
                <w:b/>
                <w:i w:val="0"/>
                <w:color w:val="FFFFFF"/>
                <w:sz w:val="20"/>
              </w:rPr>
              <w:t>Indicator</w:t>
            </w:r>
          </w:p>
        </w:tc>
        <w:tc>
          <w:tcPr>
            <w:tcW w:type="dxa" w:w="4032"/>
            <w:shd w:fill="2E75B6" w:val="clear"/>
            <w:vAlign w:val="center"/>
          </w:tcPr>
          <w:p>
            <w:pPr>
              <w:jc w:val="center"/>
            </w:pPr>
            <w:r>
              <w:rPr>
                <w:rFonts w:ascii="Times New Roman" w:hAnsi="Times New Roman"/>
                <w:b/>
                <w:i w:val="0"/>
                <w:color w:val="FFFFFF"/>
                <w:sz w:val="20"/>
              </w:rPr>
              <w:t>Value</w:t>
            </w:r>
          </w:p>
        </w:tc>
      </w:tr>
      <w:tr>
        <w:tc>
          <w:tcPr>
            <w:tcW w:type="dxa" w:w="5040"/>
            <w:shd w:fill="EBF3FB" w:val="clear"/>
            <w:vAlign w:val="center"/>
          </w:tcPr>
          <w:p>
            <w:pPr>
              <w:jc w:val="left"/>
            </w:pPr>
            <w:r>
              <w:rPr>
                <w:rFonts w:ascii="Times New Roman" w:hAnsi="Times New Roman"/>
                <w:b w:val="0"/>
                <w:i w:val="0"/>
                <w:sz w:val="20"/>
              </w:rPr>
              <w:t>Reporting period</w:t>
            </w:r>
          </w:p>
        </w:tc>
        <w:tc>
          <w:tcPr>
            <w:tcW w:type="dxa" w:w="4032"/>
            <w:shd w:fill="EBF3FB" w:val="clear"/>
            <w:vAlign w:val="center"/>
          </w:tcPr>
          <w:p>
            <w:pPr>
              <w:jc w:val="center"/>
            </w:pPr>
            <w:r>
              <w:rPr>
                <w:rFonts w:ascii="Times New Roman" w:hAnsi="Times New Roman"/>
                <w:b w:val="0"/>
                <w:i w:val="0"/>
                <w:sz w:val="20"/>
              </w:rPr>
              <w:t>2 April 2026 – 2 June 2026 (62 days)</w:t>
            </w:r>
          </w:p>
        </w:tc>
      </w:tr>
      <w:tr>
        <w:tc>
          <w:tcPr>
            <w:tcW w:type="dxa" w:w="5040"/>
            <w:vAlign w:val="center"/>
          </w:tcPr>
          <w:p>
            <w:pPr>
              <w:jc w:val="left"/>
            </w:pPr>
            <w:r>
              <w:rPr>
                <w:rFonts w:ascii="Times New Roman" w:hAnsi="Times New Roman"/>
                <w:b w:val="0"/>
                <w:i w:val="0"/>
                <w:sz w:val="20"/>
              </w:rPr>
              <w:t>Total suspected cases</w:t>
            </w:r>
          </w:p>
        </w:tc>
        <w:tc>
          <w:tcPr>
            <w:tcW w:type="dxa" w:w="4032"/>
            <w:vAlign w:val="center"/>
          </w:tcPr>
          <w:p>
            <w:pPr>
              <w:jc w:val="center"/>
            </w:pPr>
            <w:r>
              <w:rPr>
                <w:rFonts w:ascii="Times New Roman" w:hAnsi="Times New Roman"/>
                <w:b w:val="0"/>
                <w:i w:val="0"/>
                <w:sz w:val="20"/>
              </w:rPr>
              <w:t>73,362</w:t>
            </w:r>
          </w:p>
        </w:tc>
      </w:tr>
      <w:tr>
        <w:tc>
          <w:tcPr>
            <w:tcW w:type="dxa" w:w="5040"/>
            <w:shd w:fill="EBF3FB" w:val="clear"/>
            <w:vAlign w:val="center"/>
          </w:tcPr>
          <w:p>
            <w:pPr>
              <w:jc w:val="left"/>
            </w:pPr>
            <w:r>
              <w:rPr>
                <w:rFonts w:ascii="Times New Roman" w:hAnsi="Times New Roman"/>
                <w:b w:val="0"/>
                <w:i w:val="0"/>
                <w:sz w:val="20"/>
              </w:rPr>
              <w:t>Total confirmed cases</w:t>
            </w:r>
          </w:p>
        </w:tc>
        <w:tc>
          <w:tcPr>
            <w:tcW w:type="dxa" w:w="4032"/>
            <w:shd w:fill="EBF3FB" w:val="clear"/>
            <w:vAlign w:val="center"/>
          </w:tcPr>
          <w:p>
            <w:pPr>
              <w:jc w:val="center"/>
            </w:pPr>
            <w:r>
              <w:rPr>
                <w:rFonts w:ascii="Times New Roman" w:hAnsi="Times New Roman"/>
                <w:b w:val="0"/>
                <w:i w:val="0"/>
                <w:sz w:val="20"/>
              </w:rPr>
              <w:t>9,136</w:t>
            </w:r>
          </w:p>
        </w:tc>
      </w:tr>
      <w:tr>
        <w:tc>
          <w:tcPr>
            <w:tcW w:type="dxa" w:w="5040"/>
            <w:vAlign w:val="center"/>
          </w:tcPr>
          <w:p>
            <w:pPr>
              <w:jc w:val="left"/>
            </w:pPr>
            <w:r>
              <w:rPr>
                <w:rFonts w:ascii="Times New Roman" w:hAnsi="Times New Roman"/>
                <w:b w:val="0"/>
                <w:i w:val="0"/>
                <w:sz w:val="20"/>
              </w:rPr>
              <w:t>Confirmation rate</w:t>
            </w:r>
          </w:p>
        </w:tc>
        <w:tc>
          <w:tcPr>
            <w:tcW w:type="dxa" w:w="4032"/>
            <w:vAlign w:val="center"/>
          </w:tcPr>
          <w:p>
            <w:pPr>
              <w:jc w:val="center"/>
            </w:pPr>
            <w:r>
              <w:rPr>
                <w:rFonts w:ascii="Times New Roman" w:hAnsi="Times New Roman"/>
                <w:b w:val="0"/>
                <w:i w:val="0"/>
                <w:sz w:val="20"/>
              </w:rPr>
              <w:t>12.5%</w:t>
            </w:r>
          </w:p>
        </w:tc>
      </w:tr>
      <w:tr>
        <w:tc>
          <w:tcPr>
            <w:tcW w:type="dxa" w:w="5040"/>
            <w:shd w:fill="EBF3FB" w:val="clear"/>
            <w:vAlign w:val="center"/>
          </w:tcPr>
          <w:p>
            <w:pPr>
              <w:jc w:val="left"/>
            </w:pPr>
            <w:r>
              <w:rPr>
                <w:rFonts w:ascii="Times New Roman" w:hAnsi="Times New Roman"/>
                <w:b w:val="0"/>
                <w:i w:val="0"/>
                <w:sz w:val="20"/>
              </w:rPr>
              <w:t>Total hospitalised (cumulative)</w:t>
            </w:r>
          </w:p>
        </w:tc>
        <w:tc>
          <w:tcPr>
            <w:tcW w:type="dxa" w:w="4032"/>
            <w:shd w:fill="EBF3FB" w:val="clear"/>
            <w:vAlign w:val="center"/>
          </w:tcPr>
          <w:p>
            <w:pPr>
              <w:jc w:val="center"/>
            </w:pPr>
            <w:r>
              <w:rPr>
                <w:rFonts w:ascii="Times New Roman" w:hAnsi="Times New Roman"/>
                <w:b w:val="0"/>
                <w:i w:val="0"/>
                <w:sz w:val="20"/>
              </w:rPr>
              <w:t>59,106</w:t>
            </w:r>
          </w:p>
        </w:tc>
      </w:tr>
      <w:tr>
        <w:tc>
          <w:tcPr>
            <w:tcW w:type="dxa" w:w="5040"/>
            <w:vAlign w:val="center"/>
          </w:tcPr>
          <w:p>
            <w:pPr>
              <w:jc w:val="left"/>
            </w:pPr>
            <w:r>
              <w:rPr>
                <w:rFonts w:ascii="Times New Roman" w:hAnsi="Times New Roman"/>
                <w:b w:val="0"/>
                <w:i w:val="0"/>
                <w:sz w:val="20"/>
              </w:rPr>
              <w:t>Hospitalisation rate (of suspected)</w:t>
            </w:r>
          </w:p>
        </w:tc>
        <w:tc>
          <w:tcPr>
            <w:tcW w:type="dxa" w:w="4032"/>
            <w:vAlign w:val="center"/>
          </w:tcPr>
          <w:p>
            <w:pPr>
              <w:jc w:val="center"/>
            </w:pPr>
            <w:r>
              <w:rPr>
                <w:rFonts w:ascii="Times New Roman" w:hAnsi="Times New Roman"/>
                <w:b w:val="0"/>
                <w:i w:val="0"/>
                <w:sz w:val="20"/>
              </w:rPr>
              <w:t>80.6%</w:t>
            </w:r>
          </w:p>
        </w:tc>
      </w:tr>
      <w:tr>
        <w:tc>
          <w:tcPr>
            <w:tcW w:type="dxa" w:w="5040"/>
            <w:shd w:fill="EBF3FB" w:val="clear"/>
            <w:vAlign w:val="center"/>
          </w:tcPr>
          <w:p>
            <w:pPr>
              <w:jc w:val="left"/>
            </w:pPr>
            <w:r>
              <w:rPr>
                <w:rFonts w:ascii="Times New Roman" w:hAnsi="Times New Roman"/>
                <w:b w:val="0"/>
                <w:i w:val="0"/>
                <w:sz w:val="20"/>
              </w:rPr>
              <w:t>Total recovered (cumulative)</w:t>
            </w:r>
          </w:p>
        </w:tc>
        <w:tc>
          <w:tcPr>
            <w:tcW w:type="dxa" w:w="4032"/>
            <w:shd w:fill="EBF3FB" w:val="clear"/>
            <w:vAlign w:val="center"/>
          </w:tcPr>
          <w:p>
            <w:pPr>
              <w:jc w:val="center"/>
            </w:pPr>
            <w:r>
              <w:rPr>
                <w:rFonts w:ascii="Times New Roman" w:hAnsi="Times New Roman"/>
                <w:b w:val="0"/>
                <w:i w:val="0"/>
                <w:sz w:val="20"/>
              </w:rPr>
              <w:t>54,812</w:t>
            </w:r>
          </w:p>
        </w:tc>
      </w:tr>
      <w:tr>
        <w:tc>
          <w:tcPr>
            <w:tcW w:type="dxa" w:w="5040"/>
            <w:vAlign w:val="center"/>
          </w:tcPr>
          <w:p>
            <w:pPr>
              <w:jc w:val="left"/>
            </w:pPr>
            <w:r>
              <w:rPr>
                <w:rFonts w:ascii="Times New Roman" w:hAnsi="Times New Roman"/>
                <w:b w:val="0"/>
                <w:i w:val="0"/>
                <w:sz w:val="20"/>
              </w:rPr>
              <w:t>Recovery rate (of hospitalised)</w:t>
            </w:r>
          </w:p>
        </w:tc>
        <w:tc>
          <w:tcPr>
            <w:tcW w:type="dxa" w:w="4032"/>
            <w:vAlign w:val="center"/>
          </w:tcPr>
          <w:p>
            <w:pPr>
              <w:jc w:val="center"/>
            </w:pPr>
            <w:r>
              <w:rPr>
                <w:rFonts w:ascii="Times New Roman" w:hAnsi="Times New Roman"/>
                <w:b w:val="0"/>
                <w:i w:val="0"/>
                <w:sz w:val="20"/>
              </w:rPr>
              <w:t>92.7%</w:t>
            </w:r>
          </w:p>
        </w:tc>
      </w:tr>
      <w:tr>
        <w:tc>
          <w:tcPr>
            <w:tcW w:type="dxa" w:w="5040"/>
            <w:shd w:fill="EBF3FB" w:val="clear"/>
            <w:vAlign w:val="center"/>
          </w:tcPr>
          <w:p>
            <w:pPr>
              <w:jc w:val="left"/>
            </w:pPr>
            <w:r>
              <w:rPr>
                <w:rFonts w:ascii="Times New Roman" w:hAnsi="Times New Roman"/>
                <w:b w:val="0"/>
                <w:i w:val="0"/>
                <w:sz w:val="20"/>
              </w:rPr>
              <w:t>Total suspected deaths</w:t>
            </w:r>
          </w:p>
        </w:tc>
        <w:tc>
          <w:tcPr>
            <w:tcW w:type="dxa" w:w="4032"/>
            <w:shd w:fill="EBF3FB" w:val="clear"/>
            <w:vAlign w:val="center"/>
          </w:tcPr>
          <w:p>
            <w:pPr>
              <w:jc w:val="center"/>
            </w:pPr>
            <w:r>
              <w:rPr>
                <w:rFonts w:ascii="Times New Roman" w:hAnsi="Times New Roman"/>
                <w:b w:val="0"/>
                <w:i w:val="0"/>
                <w:sz w:val="20"/>
              </w:rPr>
              <w:t>504</w:t>
            </w:r>
          </w:p>
        </w:tc>
      </w:tr>
      <w:tr>
        <w:tc>
          <w:tcPr>
            <w:tcW w:type="dxa" w:w="5040"/>
            <w:vAlign w:val="center"/>
          </w:tcPr>
          <w:p>
            <w:pPr>
              <w:jc w:val="left"/>
            </w:pPr>
            <w:r>
              <w:rPr>
                <w:rFonts w:ascii="Times New Roman" w:hAnsi="Times New Roman"/>
                <w:b w:val="0"/>
                <w:i w:val="0"/>
                <w:sz w:val="20"/>
              </w:rPr>
              <w:t>Total confirmed deaths</w:t>
            </w:r>
          </w:p>
        </w:tc>
        <w:tc>
          <w:tcPr>
            <w:tcW w:type="dxa" w:w="4032"/>
            <w:vAlign w:val="center"/>
          </w:tcPr>
          <w:p>
            <w:pPr>
              <w:jc w:val="center"/>
            </w:pPr>
            <w:r>
              <w:rPr>
                <w:rFonts w:ascii="Times New Roman" w:hAnsi="Times New Roman"/>
                <w:b w:val="0"/>
                <w:i w:val="0"/>
                <w:sz w:val="20"/>
              </w:rPr>
              <w:t>90</w:t>
            </w:r>
          </w:p>
        </w:tc>
      </w:tr>
      <w:tr>
        <w:tc>
          <w:tcPr>
            <w:tcW w:type="dxa" w:w="5040"/>
            <w:shd w:fill="EBF3FB" w:val="clear"/>
            <w:vAlign w:val="center"/>
          </w:tcPr>
          <w:p>
            <w:pPr>
              <w:jc w:val="left"/>
            </w:pPr>
            <w:r>
              <w:rPr>
                <w:rFonts w:ascii="Times New Roman" w:hAnsi="Times New Roman"/>
                <w:b w:val="0"/>
                <w:i w:val="0"/>
                <w:sz w:val="20"/>
              </w:rPr>
              <w:t>Case fatality rate — suspected</w:t>
            </w:r>
          </w:p>
        </w:tc>
        <w:tc>
          <w:tcPr>
            <w:tcW w:type="dxa" w:w="4032"/>
            <w:shd w:fill="EBF3FB" w:val="clear"/>
            <w:vAlign w:val="center"/>
          </w:tcPr>
          <w:p>
            <w:pPr>
              <w:jc w:val="center"/>
            </w:pPr>
            <w:r>
              <w:rPr>
                <w:rFonts w:ascii="Times New Roman" w:hAnsi="Times New Roman"/>
                <w:b w:val="0"/>
                <w:i w:val="0"/>
                <w:sz w:val="20"/>
              </w:rPr>
              <w:t>0.69%</w:t>
            </w:r>
          </w:p>
        </w:tc>
      </w:tr>
      <w:tr>
        <w:tc>
          <w:tcPr>
            <w:tcW w:type="dxa" w:w="5040"/>
            <w:vAlign w:val="center"/>
          </w:tcPr>
          <w:p>
            <w:pPr>
              <w:jc w:val="left"/>
            </w:pPr>
            <w:r>
              <w:rPr>
                <w:rFonts w:ascii="Times New Roman" w:hAnsi="Times New Roman"/>
                <w:b w:val="0"/>
                <w:i w:val="0"/>
                <w:sz w:val="20"/>
              </w:rPr>
              <w:t>Case fatality rate — confirmed</w:t>
            </w:r>
          </w:p>
        </w:tc>
        <w:tc>
          <w:tcPr>
            <w:tcW w:type="dxa" w:w="4032"/>
            <w:vAlign w:val="center"/>
          </w:tcPr>
          <w:p>
            <w:pPr>
              <w:jc w:val="center"/>
            </w:pPr>
            <w:r>
              <w:rPr>
                <w:rFonts w:ascii="Times New Roman" w:hAnsi="Times New Roman"/>
                <w:b w:val="0"/>
                <w:i w:val="0"/>
                <w:sz w:val="20"/>
              </w:rPr>
              <w:t>0.99%</w:t>
            </w:r>
          </w:p>
        </w:tc>
      </w:tr>
      <w:tr>
        <w:tc>
          <w:tcPr>
            <w:tcW w:type="dxa" w:w="5040"/>
            <w:shd w:fill="EBF3FB" w:val="clear"/>
            <w:vAlign w:val="center"/>
          </w:tcPr>
          <w:p>
            <w:pPr>
              <w:jc w:val="left"/>
            </w:pPr>
            <w:r>
              <w:rPr>
                <w:rFonts w:ascii="Times New Roman" w:hAnsi="Times New Roman"/>
                <w:b w:val="0"/>
                <w:i w:val="0"/>
                <w:sz w:val="20"/>
              </w:rPr>
              <w:t>Peak daily suspected cases</w:t>
            </w:r>
          </w:p>
        </w:tc>
        <w:tc>
          <w:tcPr>
            <w:tcW w:type="dxa" w:w="4032"/>
            <w:shd w:fill="EBF3FB" w:val="clear"/>
            <w:vAlign w:val="center"/>
          </w:tcPr>
          <w:p>
            <w:pPr>
              <w:jc w:val="center"/>
            </w:pPr>
            <w:r>
              <w:rPr>
                <w:rFonts w:ascii="Times New Roman" w:hAnsi="Times New Roman"/>
                <w:b w:val="0"/>
                <w:i w:val="0"/>
                <w:sz w:val="20"/>
              </w:rPr>
              <w:t>1,503 (10 May 2026)</w:t>
            </w:r>
          </w:p>
        </w:tc>
      </w:tr>
      <w:tr>
        <w:tc>
          <w:tcPr>
            <w:tcW w:type="dxa" w:w="5040"/>
            <w:vAlign w:val="center"/>
          </w:tcPr>
          <w:p>
            <w:pPr>
              <w:jc w:val="left"/>
            </w:pPr>
            <w:r>
              <w:rPr>
                <w:rFonts w:ascii="Times New Roman" w:hAnsi="Times New Roman"/>
                <w:b w:val="0"/>
                <w:i w:val="0"/>
                <w:sz w:val="20"/>
              </w:rPr>
              <w:t>Mean daily suspected cases</w:t>
            </w:r>
          </w:p>
        </w:tc>
        <w:tc>
          <w:tcPr>
            <w:tcW w:type="dxa" w:w="4032"/>
            <w:vAlign w:val="center"/>
          </w:tcPr>
          <w:p>
            <w:pPr>
              <w:jc w:val="center"/>
            </w:pPr>
            <w:r>
              <w:rPr>
                <w:rFonts w:ascii="Times New Roman" w:hAnsi="Times New Roman"/>
                <w:b w:val="0"/>
                <w:i w:val="0"/>
                <w:sz w:val="20"/>
              </w:rPr>
              <w:t>1,167</w:t>
            </w:r>
          </w:p>
        </w:tc>
      </w:tr>
    </w:tbl>
    <w:p/>
    <w:p>
      <w:pPr>
        <w:spacing w:before="160" w:after="120"/>
      </w:pPr>
      <w:r>
        <w:rPr>
          <w:rFonts w:ascii="Times New Roman" w:hAnsi="Times New Roman"/>
          <w:b/>
          <w:i w:val="0"/>
          <w:sz w:val="24"/>
        </w:rPr>
        <w:t>3.2 Temporal Trends</w:t>
      </w:r>
    </w:p>
    <w:p>
      <w:pPr>
        <w:spacing w:before="0" w:after="120"/>
        <w:ind w:firstLine="576"/>
        <w:jc w:val="both"/>
      </w:pPr>
      <w:r>
        <w:rPr>
          <w:rFonts w:ascii="Times New Roman" w:hAnsi="Times New Roman"/>
          <w:b w:val="0"/>
          <w:i w:val="0"/>
          <w:sz w:val="24"/>
        </w:rPr>
        <w:t>The epidemic curve demonstrated a rapid early rise followed by a sustained plateau (Figure 1). Daily suspected cases increased from 685 on 2 April 2026 to a peak of 1,503 on 10 May 2026 — a 2.2-fold increase over 38 days. The mean daily suspected case count across the study period was 1,167 (range: 674–1,503). During the final week of the study (28 May to 2 June 2026), daily suspected cases declined to below 1,100, suggesting a possible plateau or early decline, though this trend requires continued monitoring.</w:t>
      </w:r>
    </w:p>
    <w:p>
      <w:pPr>
        <w:spacing w:before="0" w:after="120"/>
        <w:ind w:firstLine="576"/>
        <w:jc w:val="both"/>
      </w:pPr>
      <w:r>
        <w:rPr>
          <w:rFonts w:ascii="Times New Roman" w:hAnsi="Times New Roman"/>
          <w:b w:val="0"/>
          <w:i w:val="0"/>
          <w:sz w:val="24"/>
        </w:rPr>
        <w:t>The doubling time during the first 14 days of the study period was estimated at 6.1 days (daily growth rate 11.3%; r² = 0.94), consistent with exponential growth. Week-over-week analysis revealed the highest relative growth in epidemiological week 2 (9–15 April, +12.1%), followed by week 4 (23–29 April, +10.2%). Growth decelerated from week 7 onward, with a −23.6% week-over-week decline in the final partial week (28 May to 2 June 2026). The cumulative trajectory of hospitalisations closely tracked suspected cases (Figure 2), consistent with a high hospitalisation burden throughout the outbreak.</w:t>
      </w:r>
    </w:p>
    <w:p>
      <w:pPr>
        <w:spacing w:before="0" w:after="120"/>
        <w:ind w:firstLine="576"/>
        <w:jc w:val="both"/>
      </w:pPr>
      <w:r>
        <w:rPr>
          <w:rFonts w:ascii="Times New Roman" w:hAnsi="Times New Roman"/>
          <w:b w:val="0"/>
          <w:i/>
          <w:sz w:val="24"/>
        </w:rPr>
        <w:t>(See Figure 1: Epidemic curve; Figure 2: Cumulative trajectory)</w:t>
      </w:r>
    </w:p>
    <w:p>
      <w:pPr>
        <w:spacing w:before="160" w:after="120"/>
      </w:pPr>
      <w:r>
        <w:rPr>
          <w:rFonts w:ascii="Times New Roman" w:hAnsi="Times New Roman"/>
          <w:b/>
          <w:i w:val="0"/>
          <w:sz w:val="24"/>
        </w:rPr>
        <w:t>3.3 Geographic Distribution</w:t>
      </w:r>
    </w:p>
    <w:p>
      <w:pPr>
        <w:spacing w:before="0" w:after="120"/>
        <w:ind w:firstLine="576"/>
        <w:jc w:val="both"/>
      </w:pPr>
      <w:r>
        <w:rPr>
          <w:rFonts w:ascii="Times New Roman" w:hAnsi="Times New Roman"/>
          <w:b w:val="0"/>
          <w:i w:val="0"/>
          <w:sz w:val="24"/>
        </w:rPr>
        <w:t>Measles burden was highly concentrated in Dhaka division, which accounted for 34,497 confirmed cases — 47.0% of the national total — with an incidence rate of 95.7 per 100,000 population (Table 2). Chattogram division recorded the second highest absolute burden (12,009 confirmed cases, 16.0%) with an incidence of 42.3 per 100,000. Rajshahi division (9,414 cases; 50.9 per 100,000) and Khulna division (5,422 cases; 34.8 per 100,000) followed. The lowest burden was observed in Rangpur division (3,323 confirmed cases; 21.2 per 100,000). Mymensingh division data were incomplete in the division-level breakdowns and could not be reliably quantified for this analysis.</w:t>
      </w:r>
    </w:p>
    <w:p>
      <w:pPr>
        <w:spacing w:before="0" w:after="120"/>
        <w:ind w:firstLine="576"/>
        <w:jc w:val="both"/>
      </w:pPr>
      <w:r>
        <w:rPr>
          <w:rFonts w:ascii="Times New Roman" w:hAnsi="Times New Roman"/>
          <w:b w:val="0"/>
          <w:i/>
          <w:sz w:val="24"/>
        </w:rPr>
        <w:t>(See Figure 3: Division-level burden)</w:t>
      </w:r>
    </w:p>
    <w:p>
      <w:pPr>
        <w:spacing w:before="200" w:after="80"/>
      </w:pPr>
      <w:r>
        <w:rPr>
          <w:rFonts w:ascii="Times New Roman" w:hAnsi="Times New Roman"/>
          <w:b/>
          <w:i w:val="0"/>
          <w:sz w:val="22"/>
        </w:rPr>
        <w:t>Table 2. Division-level Confirmed Measles Cases and Incidence Rates, Bangladesh 2026</w:t>
        <w:br/>
        <w:t>* National total includes cases not attributed to specific divisions in daily reports.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2160"/>
            <w:shd w:fill="2E75B6" w:val="clear"/>
            <w:vAlign w:val="center"/>
          </w:tcPr>
          <w:p>
            <w:pPr>
              <w:jc w:val="center"/>
            </w:pPr>
            <w:r>
              <w:rPr>
                <w:rFonts w:ascii="Times New Roman" w:hAnsi="Times New Roman"/>
                <w:b/>
                <w:i w:val="0"/>
                <w:color w:val="FFFFFF"/>
                <w:sz w:val="20"/>
              </w:rPr>
              <w:t>Division</w:t>
            </w:r>
          </w:p>
        </w:tc>
        <w:tc>
          <w:tcPr>
            <w:tcW w:type="dxa" w:w="2592"/>
            <w:shd w:fill="2E75B6" w:val="clear"/>
            <w:vAlign w:val="center"/>
          </w:tcPr>
          <w:p>
            <w:pPr>
              <w:jc w:val="center"/>
            </w:pPr>
            <w:r>
              <w:rPr>
                <w:rFonts w:ascii="Times New Roman" w:hAnsi="Times New Roman"/>
                <w:b/>
                <w:i w:val="0"/>
                <w:color w:val="FFFFFF"/>
                <w:sz w:val="20"/>
              </w:rPr>
              <w:t>Population</w:t>
              <w:br/>
              <w:t>(2022 Census)</w:t>
            </w:r>
          </w:p>
        </w:tc>
        <w:tc>
          <w:tcPr>
            <w:tcW w:type="dxa" w:w="2016"/>
            <w:shd w:fill="2E75B6" w:val="clear"/>
            <w:vAlign w:val="center"/>
          </w:tcPr>
          <w:p>
            <w:pPr>
              <w:jc w:val="center"/>
            </w:pPr>
            <w:r>
              <w:rPr>
                <w:rFonts w:ascii="Times New Roman" w:hAnsi="Times New Roman"/>
                <w:b/>
                <w:i w:val="0"/>
                <w:color w:val="FFFFFF"/>
                <w:sz w:val="20"/>
              </w:rPr>
              <w:t>Confirmed</w:t>
              <w:br/>
              <w:t>Cases</w:t>
            </w:r>
          </w:p>
        </w:tc>
        <w:tc>
          <w:tcPr>
            <w:tcW w:type="dxa" w:w="2016"/>
            <w:shd w:fill="2E75B6" w:val="clear"/>
            <w:vAlign w:val="center"/>
          </w:tcPr>
          <w:p>
            <w:pPr>
              <w:jc w:val="center"/>
            </w:pPr>
            <w:r>
              <w:rPr>
                <w:rFonts w:ascii="Times New Roman" w:hAnsi="Times New Roman"/>
                <w:b/>
                <w:i w:val="0"/>
                <w:color w:val="FFFFFF"/>
                <w:sz w:val="20"/>
              </w:rPr>
              <w:t>Incidence</w:t>
              <w:br/>
              <w:t>/100,000</w:t>
            </w:r>
          </w:p>
        </w:tc>
        <w:tc>
          <w:tcPr>
            <w:tcW w:type="dxa" w:w="2016"/>
            <w:shd w:fill="2E75B6" w:val="clear"/>
            <w:vAlign w:val="center"/>
          </w:tcPr>
          <w:p>
            <w:pPr>
              <w:jc w:val="center"/>
            </w:pPr>
            <w:r>
              <w:rPr>
                <w:rFonts w:ascii="Times New Roman" w:hAnsi="Times New Roman"/>
                <w:b/>
                <w:i w:val="0"/>
                <w:color w:val="FFFFFF"/>
                <w:sz w:val="20"/>
              </w:rPr>
              <w:t>% of</w:t>
              <w:br/>
              <w:t>National Total</w:t>
            </w:r>
          </w:p>
        </w:tc>
      </w:tr>
      <w:tr>
        <w:tc>
          <w:tcPr>
            <w:tcW w:type="dxa" w:w="2160"/>
            <w:shd w:fill="EBF3FB" w:val="clear"/>
            <w:vAlign w:val="center"/>
          </w:tcPr>
          <w:p>
            <w:pPr>
              <w:jc w:val="left"/>
            </w:pPr>
            <w:r>
              <w:rPr>
                <w:rFonts w:ascii="Times New Roman" w:hAnsi="Times New Roman"/>
                <w:b w:val="0"/>
                <w:i w:val="0"/>
                <w:sz w:val="20"/>
              </w:rPr>
              <w:t>Dhaka</w:t>
            </w:r>
          </w:p>
        </w:tc>
        <w:tc>
          <w:tcPr>
            <w:tcW w:type="dxa" w:w="2592"/>
            <w:shd w:fill="EBF3FB" w:val="clear"/>
            <w:vAlign w:val="center"/>
          </w:tcPr>
          <w:p>
            <w:pPr>
              <w:jc w:val="center"/>
            </w:pPr>
            <w:r>
              <w:rPr>
                <w:rFonts w:ascii="Times New Roman" w:hAnsi="Times New Roman"/>
                <w:b w:val="0"/>
                <w:i w:val="0"/>
                <w:sz w:val="20"/>
              </w:rPr>
              <w:t>36,054,418</w:t>
            </w:r>
          </w:p>
        </w:tc>
        <w:tc>
          <w:tcPr>
            <w:tcW w:type="dxa" w:w="2016"/>
            <w:shd w:fill="EBF3FB" w:val="clear"/>
            <w:vAlign w:val="center"/>
          </w:tcPr>
          <w:p>
            <w:pPr>
              <w:jc w:val="center"/>
            </w:pPr>
            <w:r>
              <w:rPr>
                <w:rFonts w:ascii="Times New Roman" w:hAnsi="Times New Roman"/>
                <w:b w:val="0"/>
                <w:i w:val="0"/>
                <w:sz w:val="20"/>
              </w:rPr>
              <w:t>34,497</w:t>
            </w:r>
          </w:p>
        </w:tc>
        <w:tc>
          <w:tcPr>
            <w:tcW w:type="dxa" w:w="2016"/>
            <w:shd w:fill="EBF3FB" w:val="clear"/>
            <w:vAlign w:val="center"/>
          </w:tcPr>
          <w:p>
            <w:pPr>
              <w:jc w:val="center"/>
            </w:pPr>
            <w:r>
              <w:rPr>
                <w:rFonts w:ascii="Times New Roman" w:hAnsi="Times New Roman"/>
                <w:b w:val="0"/>
                <w:i w:val="0"/>
                <w:sz w:val="20"/>
              </w:rPr>
              <w:t>95.7</w:t>
            </w:r>
          </w:p>
        </w:tc>
        <w:tc>
          <w:tcPr>
            <w:tcW w:type="dxa" w:w="2016"/>
            <w:shd w:fill="EBF3FB" w:val="clear"/>
            <w:vAlign w:val="center"/>
          </w:tcPr>
          <w:p>
            <w:pPr>
              <w:jc w:val="center"/>
            </w:pPr>
            <w:r>
              <w:rPr>
                <w:rFonts w:ascii="Times New Roman" w:hAnsi="Times New Roman"/>
                <w:b w:val="0"/>
                <w:i w:val="0"/>
                <w:sz w:val="20"/>
              </w:rPr>
              <w:t>47.0%</w:t>
            </w:r>
          </w:p>
        </w:tc>
      </w:tr>
      <w:tr>
        <w:tc>
          <w:tcPr>
            <w:tcW w:type="dxa" w:w="2160"/>
            <w:vAlign w:val="center"/>
          </w:tcPr>
          <w:p>
            <w:pPr>
              <w:jc w:val="left"/>
            </w:pPr>
            <w:r>
              <w:rPr>
                <w:rFonts w:ascii="Times New Roman" w:hAnsi="Times New Roman"/>
                <w:b w:val="0"/>
                <w:i w:val="0"/>
                <w:sz w:val="20"/>
              </w:rPr>
              <w:t>Chattogram</w:t>
            </w:r>
          </w:p>
        </w:tc>
        <w:tc>
          <w:tcPr>
            <w:tcW w:type="dxa" w:w="2592"/>
            <w:vAlign w:val="center"/>
          </w:tcPr>
          <w:p>
            <w:pPr>
              <w:jc w:val="center"/>
            </w:pPr>
            <w:r>
              <w:rPr>
                <w:rFonts w:ascii="Times New Roman" w:hAnsi="Times New Roman"/>
                <w:b w:val="0"/>
                <w:i w:val="0"/>
                <w:sz w:val="20"/>
              </w:rPr>
              <w:t>28,423,019</w:t>
            </w:r>
          </w:p>
        </w:tc>
        <w:tc>
          <w:tcPr>
            <w:tcW w:type="dxa" w:w="2016"/>
            <w:vAlign w:val="center"/>
          </w:tcPr>
          <w:p>
            <w:pPr>
              <w:jc w:val="center"/>
            </w:pPr>
            <w:r>
              <w:rPr>
                <w:rFonts w:ascii="Times New Roman" w:hAnsi="Times New Roman"/>
                <w:b w:val="0"/>
                <w:i w:val="0"/>
                <w:sz w:val="20"/>
              </w:rPr>
              <w:t>12,009</w:t>
            </w:r>
          </w:p>
        </w:tc>
        <w:tc>
          <w:tcPr>
            <w:tcW w:type="dxa" w:w="2016"/>
            <w:vAlign w:val="center"/>
          </w:tcPr>
          <w:p>
            <w:pPr>
              <w:jc w:val="center"/>
            </w:pPr>
            <w:r>
              <w:rPr>
                <w:rFonts w:ascii="Times New Roman" w:hAnsi="Times New Roman"/>
                <w:b w:val="0"/>
                <w:i w:val="0"/>
                <w:sz w:val="20"/>
              </w:rPr>
              <w:t>42.3</w:t>
            </w:r>
          </w:p>
        </w:tc>
        <w:tc>
          <w:tcPr>
            <w:tcW w:type="dxa" w:w="2016"/>
            <w:vAlign w:val="center"/>
          </w:tcPr>
          <w:p>
            <w:pPr>
              <w:jc w:val="center"/>
            </w:pPr>
            <w:r>
              <w:rPr>
                <w:rFonts w:ascii="Times New Roman" w:hAnsi="Times New Roman"/>
                <w:b w:val="0"/>
                <w:i w:val="0"/>
                <w:sz w:val="20"/>
              </w:rPr>
              <w:t>16.0%</w:t>
            </w:r>
          </w:p>
        </w:tc>
      </w:tr>
      <w:tr>
        <w:tc>
          <w:tcPr>
            <w:tcW w:type="dxa" w:w="2160"/>
            <w:shd w:fill="EBF3FB" w:val="clear"/>
            <w:vAlign w:val="center"/>
          </w:tcPr>
          <w:p>
            <w:pPr>
              <w:jc w:val="left"/>
            </w:pPr>
            <w:r>
              <w:rPr>
                <w:rFonts w:ascii="Times New Roman" w:hAnsi="Times New Roman"/>
                <w:b w:val="0"/>
                <w:i w:val="0"/>
                <w:sz w:val="20"/>
              </w:rPr>
              <w:t>Rajshahi</w:t>
            </w:r>
          </w:p>
        </w:tc>
        <w:tc>
          <w:tcPr>
            <w:tcW w:type="dxa" w:w="2592"/>
            <w:shd w:fill="EBF3FB" w:val="clear"/>
            <w:vAlign w:val="center"/>
          </w:tcPr>
          <w:p>
            <w:pPr>
              <w:jc w:val="center"/>
            </w:pPr>
            <w:r>
              <w:rPr>
                <w:rFonts w:ascii="Times New Roman" w:hAnsi="Times New Roman"/>
                <w:b w:val="0"/>
                <w:i w:val="0"/>
                <w:sz w:val="20"/>
              </w:rPr>
              <w:t>18,484,858</w:t>
            </w:r>
          </w:p>
        </w:tc>
        <w:tc>
          <w:tcPr>
            <w:tcW w:type="dxa" w:w="2016"/>
            <w:shd w:fill="EBF3FB" w:val="clear"/>
            <w:vAlign w:val="center"/>
          </w:tcPr>
          <w:p>
            <w:pPr>
              <w:jc w:val="center"/>
            </w:pPr>
            <w:r>
              <w:rPr>
                <w:rFonts w:ascii="Times New Roman" w:hAnsi="Times New Roman"/>
                <w:b w:val="0"/>
                <w:i w:val="0"/>
                <w:sz w:val="20"/>
              </w:rPr>
              <w:t>9,414</w:t>
            </w:r>
          </w:p>
        </w:tc>
        <w:tc>
          <w:tcPr>
            <w:tcW w:type="dxa" w:w="2016"/>
            <w:shd w:fill="EBF3FB" w:val="clear"/>
            <w:vAlign w:val="center"/>
          </w:tcPr>
          <w:p>
            <w:pPr>
              <w:jc w:val="center"/>
            </w:pPr>
            <w:r>
              <w:rPr>
                <w:rFonts w:ascii="Times New Roman" w:hAnsi="Times New Roman"/>
                <w:b w:val="0"/>
                <w:i w:val="0"/>
                <w:sz w:val="20"/>
              </w:rPr>
              <w:t>50.9</w:t>
            </w:r>
          </w:p>
        </w:tc>
        <w:tc>
          <w:tcPr>
            <w:tcW w:type="dxa" w:w="2016"/>
            <w:shd w:fill="EBF3FB" w:val="clear"/>
            <w:vAlign w:val="center"/>
          </w:tcPr>
          <w:p>
            <w:pPr>
              <w:jc w:val="center"/>
            </w:pPr>
            <w:r>
              <w:rPr>
                <w:rFonts w:ascii="Times New Roman" w:hAnsi="Times New Roman"/>
                <w:b w:val="0"/>
                <w:i w:val="0"/>
                <w:sz w:val="20"/>
              </w:rPr>
              <w:t>12.6%</w:t>
            </w:r>
          </w:p>
        </w:tc>
      </w:tr>
      <w:tr>
        <w:tc>
          <w:tcPr>
            <w:tcW w:type="dxa" w:w="2160"/>
            <w:vAlign w:val="center"/>
          </w:tcPr>
          <w:p>
            <w:pPr>
              <w:jc w:val="left"/>
            </w:pPr>
            <w:r>
              <w:rPr>
                <w:rFonts w:ascii="Times New Roman" w:hAnsi="Times New Roman"/>
                <w:b w:val="0"/>
                <w:i w:val="0"/>
                <w:sz w:val="20"/>
              </w:rPr>
              <w:t>Barishal</w:t>
            </w:r>
          </w:p>
        </w:tc>
        <w:tc>
          <w:tcPr>
            <w:tcW w:type="dxa" w:w="2592"/>
            <w:vAlign w:val="center"/>
          </w:tcPr>
          <w:p>
            <w:pPr>
              <w:jc w:val="center"/>
            </w:pPr>
            <w:r>
              <w:rPr>
                <w:rFonts w:ascii="Times New Roman" w:hAnsi="Times New Roman"/>
                <w:b w:val="0"/>
                <w:i w:val="0"/>
                <w:sz w:val="20"/>
              </w:rPr>
              <w:t>8,325,666</w:t>
            </w:r>
          </w:p>
        </w:tc>
        <w:tc>
          <w:tcPr>
            <w:tcW w:type="dxa" w:w="2016"/>
            <w:vAlign w:val="center"/>
          </w:tcPr>
          <w:p>
            <w:pPr>
              <w:jc w:val="center"/>
            </w:pPr>
            <w:r>
              <w:rPr>
                <w:rFonts w:ascii="Times New Roman" w:hAnsi="Times New Roman"/>
                <w:b w:val="0"/>
                <w:i w:val="0"/>
                <w:sz w:val="20"/>
              </w:rPr>
              <w:t>6,634</w:t>
            </w:r>
          </w:p>
        </w:tc>
        <w:tc>
          <w:tcPr>
            <w:tcW w:type="dxa" w:w="2016"/>
            <w:vAlign w:val="center"/>
          </w:tcPr>
          <w:p>
            <w:pPr>
              <w:jc w:val="center"/>
            </w:pPr>
            <w:r>
              <w:rPr>
                <w:rFonts w:ascii="Times New Roman" w:hAnsi="Times New Roman"/>
                <w:b w:val="0"/>
                <w:i w:val="0"/>
                <w:sz w:val="20"/>
              </w:rPr>
              <w:t>79.7</w:t>
            </w:r>
          </w:p>
        </w:tc>
        <w:tc>
          <w:tcPr>
            <w:tcW w:type="dxa" w:w="2016"/>
            <w:vAlign w:val="center"/>
          </w:tcPr>
          <w:p>
            <w:pPr>
              <w:jc w:val="center"/>
            </w:pPr>
            <w:r>
              <w:rPr>
                <w:rFonts w:ascii="Times New Roman" w:hAnsi="Times New Roman"/>
                <w:b w:val="0"/>
                <w:i w:val="0"/>
                <w:sz w:val="20"/>
              </w:rPr>
              <w:t>8.8%</w:t>
            </w:r>
          </w:p>
        </w:tc>
      </w:tr>
      <w:tr>
        <w:tc>
          <w:tcPr>
            <w:tcW w:type="dxa" w:w="2160"/>
            <w:shd w:fill="EBF3FB" w:val="clear"/>
            <w:vAlign w:val="center"/>
          </w:tcPr>
          <w:p>
            <w:pPr>
              <w:jc w:val="left"/>
            </w:pPr>
            <w:r>
              <w:rPr>
                <w:rFonts w:ascii="Times New Roman" w:hAnsi="Times New Roman"/>
                <w:b w:val="0"/>
                <w:i w:val="0"/>
                <w:sz w:val="20"/>
              </w:rPr>
              <w:t>Khulna</w:t>
            </w:r>
          </w:p>
        </w:tc>
        <w:tc>
          <w:tcPr>
            <w:tcW w:type="dxa" w:w="2592"/>
            <w:shd w:fill="EBF3FB" w:val="clear"/>
            <w:vAlign w:val="center"/>
          </w:tcPr>
          <w:p>
            <w:pPr>
              <w:jc w:val="center"/>
            </w:pPr>
            <w:r>
              <w:rPr>
                <w:rFonts w:ascii="Times New Roman" w:hAnsi="Times New Roman"/>
                <w:b w:val="0"/>
                <w:i w:val="0"/>
                <w:sz w:val="20"/>
              </w:rPr>
              <w:t>15,563,000</w:t>
            </w:r>
          </w:p>
        </w:tc>
        <w:tc>
          <w:tcPr>
            <w:tcW w:type="dxa" w:w="2016"/>
            <w:shd w:fill="EBF3FB" w:val="clear"/>
            <w:vAlign w:val="center"/>
          </w:tcPr>
          <w:p>
            <w:pPr>
              <w:jc w:val="center"/>
            </w:pPr>
            <w:r>
              <w:rPr>
                <w:rFonts w:ascii="Times New Roman" w:hAnsi="Times New Roman"/>
                <w:b w:val="0"/>
                <w:i w:val="0"/>
                <w:sz w:val="20"/>
              </w:rPr>
              <w:t>5,422</w:t>
            </w:r>
          </w:p>
        </w:tc>
        <w:tc>
          <w:tcPr>
            <w:tcW w:type="dxa" w:w="2016"/>
            <w:shd w:fill="EBF3FB" w:val="clear"/>
            <w:vAlign w:val="center"/>
          </w:tcPr>
          <w:p>
            <w:pPr>
              <w:jc w:val="center"/>
            </w:pPr>
            <w:r>
              <w:rPr>
                <w:rFonts w:ascii="Times New Roman" w:hAnsi="Times New Roman"/>
                <w:b w:val="0"/>
                <w:i w:val="0"/>
                <w:sz w:val="20"/>
              </w:rPr>
              <w:t>34.8</w:t>
            </w:r>
          </w:p>
        </w:tc>
        <w:tc>
          <w:tcPr>
            <w:tcW w:type="dxa" w:w="2016"/>
            <w:shd w:fill="EBF3FB" w:val="clear"/>
            <w:vAlign w:val="center"/>
          </w:tcPr>
          <w:p>
            <w:pPr>
              <w:jc w:val="center"/>
            </w:pPr>
            <w:r>
              <w:rPr>
                <w:rFonts w:ascii="Times New Roman" w:hAnsi="Times New Roman"/>
                <w:b w:val="0"/>
                <w:i w:val="0"/>
                <w:sz w:val="20"/>
              </w:rPr>
              <w:t>7.2%</w:t>
            </w:r>
          </w:p>
        </w:tc>
      </w:tr>
      <w:tr>
        <w:tc>
          <w:tcPr>
            <w:tcW w:type="dxa" w:w="2160"/>
            <w:vAlign w:val="center"/>
          </w:tcPr>
          <w:p>
            <w:pPr>
              <w:jc w:val="left"/>
            </w:pPr>
            <w:r>
              <w:rPr>
                <w:rFonts w:ascii="Times New Roman" w:hAnsi="Times New Roman"/>
                <w:b w:val="0"/>
                <w:i w:val="0"/>
                <w:sz w:val="20"/>
              </w:rPr>
              <w:t>Sylhet</w:t>
            </w:r>
          </w:p>
        </w:tc>
        <w:tc>
          <w:tcPr>
            <w:tcW w:type="dxa" w:w="2592"/>
            <w:vAlign w:val="center"/>
          </w:tcPr>
          <w:p>
            <w:pPr>
              <w:jc w:val="center"/>
            </w:pPr>
            <w:r>
              <w:rPr>
                <w:rFonts w:ascii="Times New Roman" w:hAnsi="Times New Roman"/>
                <w:b w:val="0"/>
                <w:i w:val="0"/>
                <w:sz w:val="20"/>
              </w:rPr>
              <w:t>10,009,239</w:t>
            </w:r>
          </w:p>
        </w:tc>
        <w:tc>
          <w:tcPr>
            <w:tcW w:type="dxa" w:w="2016"/>
            <w:vAlign w:val="center"/>
          </w:tcPr>
          <w:p>
            <w:pPr>
              <w:jc w:val="center"/>
            </w:pPr>
            <w:r>
              <w:rPr>
                <w:rFonts w:ascii="Times New Roman" w:hAnsi="Times New Roman"/>
                <w:b w:val="0"/>
                <w:i w:val="0"/>
                <w:sz w:val="20"/>
              </w:rPr>
              <w:t>3,688</w:t>
            </w:r>
          </w:p>
        </w:tc>
        <w:tc>
          <w:tcPr>
            <w:tcW w:type="dxa" w:w="2016"/>
            <w:vAlign w:val="center"/>
          </w:tcPr>
          <w:p>
            <w:pPr>
              <w:jc w:val="center"/>
            </w:pPr>
            <w:r>
              <w:rPr>
                <w:rFonts w:ascii="Times New Roman" w:hAnsi="Times New Roman"/>
                <w:b w:val="0"/>
                <w:i w:val="0"/>
                <w:sz w:val="20"/>
              </w:rPr>
              <w:t>36.8</w:t>
            </w:r>
          </w:p>
        </w:tc>
        <w:tc>
          <w:tcPr>
            <w:tcW w:type="dxa" w:w="2016"/>
            <w:vAlign w:val="center"/>
          </w:tcPr>
          <w:p>
            <w:pPr>
              <w:jc w:val="center"/>
            </w:pPr>
            <w:r>
              <w:rPr>
                <w:rFonts w:ascii="Times New Roman" w:hAnsi="Times New Roman"/>
                <w:b w:val="0"/>
                <w:i w:val="0"/>
                <w:sz w:val="20"/>
              </w:rPr>
              <w:t>4.9%</w:t>
            </w:r>
          </w:p>
        </w:tc>
      </w:tr>
      <w:tr>
        <w:tc>
          <w:tcPr>
            <w:tcW w:type="dxa" w:w="2160"/>
            <w:shd w:fill="EBF3FB" w:val="clear"/>
            <w:vAlign w:val="center"/>
          </w:tcPr>
          <w:p>
            <w:pPr>
              <w:jc w:val="left"/>
            </w:pPr>
            <w:r>
              <w:rPr>
                <w:rFonts w:ascii="Times New Roman" w:hAnsi="Times New Roman"/>
                <w:b w:val="0"/>
                <w:i w:val="0"/>
                <w:sz w:val="20"/>
              </w:rPr>
              <w:t>Rangpur</w:t>
            </w:r>
          </w:p>
        </w:tc>
        <w:tc>
          <w:tcPr>
            <w:tcW w:type="dxa" w:w="2592"/>
            <w:shd w:fill="EBF3FB" w:val="clear"/>
            <w:vAlign w:val="center"/>
          </w:tcPr>
          <w:p>
            <w:pPr>
              <w:jc w:val="center"/>
            </w:pPr>
            <w:r>
              <w:rPr>
                <w:rFonts w:ascii="Times New Roman" w:hAnsi="Times New Roman"/>
                <w:b w:val="0"/>
                <w:i w:val="0"/>
                <w:sz w:val="20"/>
              </w:rPr>
              <w:t>15,665,000</w:t>
            </w:r>
          </w:p>
        </w:tc>
        <w:tc>
          <w:tcPr>
            <w:tcW w:type="dxa" w:w="2016"/>
            <w:shd w:fill="EBF3FB" w:val="clear"/>
            <w:vAlign w:val="center"/>
          </w:tcPr>
          <w:p>
            <w:pPr>
              <w:jc w:val="center"/>
            </w:pPr>
            <w:r>
              <w:rPr>
                <w:rFonts w:ascii="Times New Roman" w:hAnsi="Times New Roman"/>
                <w:b w:val="0"/>
                <w:i w:val="0"/>
                <w:sz w:val="20"/>
              </w:rPr>
              <w:t>3,323</w:t>
            </w:r>
          </w:p>
        </w:tc>
        <w:tc>
          <w:tcPr>
            <w:tcW w:type="dxa" w:w="2016"/>
            <w:shd w:fill="EBF3FB" w:val="clear"/>
            <w:vAlign w:val="center"/>
          </w:tcPr>
          <w:p>
            <w:pPr>
              <w:jc w:val="center"/>
            </w:pPr>
            <w:r>
              <w:rPr>
                <w:rFonts w:ascii="Times New Roman" w:hAnsi="Times New Roman"/>
                <w:b w:val="0"/>
                <w:i w:val="0"/>
                <w:sz w:val="20"/>
              </w:rPr>
              <w:t>21.2</w:t>
            </w:r>
          </w:p>
        </w:tc>
        <w:tc>
          <w:tcPr>
            <w:tcW w:type="dxa" w:w="2016"/>
            <w:shd w:fill="EBF3FB" w:val="clear"/>
            <w:vAlign w:val="center"/>
          </w:tcPr>
          <w:p>
            <w:pPr>
              <w:jc w:val="center"/>
            </w:pPr>
            <w:r>
              <w:rPr>
                <w:rFonts w:ascii="Times New Roman" w:hAnsi="Times New Roman"/>
                <w:b w:val="0"/>
                <w:i w:val="0"/>
                <w:sz w:val="20"/>
              </w:rPr>
              <w:t>4.4%</w:t>
            </w:r>
          </w:p>
        </w:tc>
      </w:tr>
      <w:tr>
        <w:tc>
          <w:tcPr>
            <w:tcW w:type="dxa" w:w="2160"/>
            <w:vAlign w:val="center"/>
          </w:tcPr>
          <w:p>
            <w:pPr>
              <w:jc w:val="left"/>
            </w:pPr>
            <w:r>
              <w:rPr>
                <w:rFonts w:ascii="Times New Roman" w:hAnsi="Times New Roman"/>
                <w:b w:val="0"/>
                <w:i w:val="0"/>
                <w:sz w:val="20"/>
              </w:rPr>
              <w:t>Mymensingh</w:t>
            </w:r>
          </w:p>
        </w:tc>
        <w:tc>
          <w:tcPr>
            <w:tcW w:type="dxa" w:w="2592"/>
            <w:vAlign w:val="center"/>
          </w:tcPr>
          <w:p>
            <w:pPr>
              <w:jc w:val="center"/>
            </w:pPr>
            <w:r>
              <w:rPr>
                <w:rFonts w:ascii="Times New Roman" w:hAnsi="Times New Roman"/>
                <w:b w:val="0"/>
                <w:i w:val="0"/>
                <w:sz w:val="20"/>
              </w:rPr>
              <w:t>11,370,000</w:t>
            </w:r>
          </w:p>
        </w:tc>
        <w:tc>
          <w:tcPr>
            <w:tcW w:type="dxa" w:w="2016"/>
            <w:vAlign w:val="center"/>
          </w:tcPr>
          <w:p>
            <w:pPr>
              <w:jc w:val="center"/>
            </w:pPr>
            <w:r>
              <w:rPr>
                <w:rFonts w:ascii="Times New Roman" w:hAnsi="Times New Roman"/>
                <w:b w:val="0"/>
                <w:i w:val="0"/>
                <w:sz w:val="20"/>
              </w:rPr>
              <w:t>N/A</w:t>
            </w:r>
          </w:p>
        </w:tc>
        <w:tc>
          <w:tcPr>
            <w:tcW w:type="dxa" w:w="2016"/>
            <w:vAlign w:val="center"/>
          </w:tcPr>
          <w:p>
            <w:pPr>
              <w:jc w:val="center"/>
            </w:pPr>
            <w:r>
              <w:rPr>
                <w:rFonts w:ascii="Times New Roman" w:hAnsi="Times New Roman"/>
                <w:b w:val="0"/>
                <w:i w:val="0"/>
                <w:sz w:val="20"/>
              </w:rPr>
              <w:t>N/A</w:t>
            </w:r>
          </w:p>
        </w:tc>
        <w:tc>
          <w:tcPr>
            <w:tcW w:type="dxa" w:w="2016"/>
            <w:vAlign w:val="center"/>
          </w:tcPr>
          <w:p>
            <w:pPr>
              <w:jc w:val="center"/>
            </w:pPr>
            <w:r>
              <w:rPr>
                <w:rFonts w:ascii="Times New Roman" w:hAnsi="Times New Roman"/>
                <w:b w:val="0"/>
                <w:i w:val="0"/>
                <w:sz w:val="20"/>
              </w:rPr>
              <w:t>N/A</w:t>
            </w:r>
          </w:p>
        </w:tc>
      </w:tr>
      <w:tr>
        <w:tc>
          <w:tcPr>
            <w:tcW w:type="dxa" w:w="2160"/>
            <w:shd w:fill="EBF3FB" w:val="clear"/>
            <w:vAlign w:val="center"/>
          </w:tcPr>
          <w:p>
            <w:pPr>
              <w:jc w:val="left"/>
            </w:pPr>
            <w:r>
              <w:rPr>
                <w:rFonts w:ascii="Times New Roman" w:hAnsi="Times New Roman"/>
                <w:b w:val="0"/>
                <w:i w:val="0"/>
                <w:sz w:val="20"/>
              </w:rPr>
              <w:t>NATIONAL</w:t>
            </w:r>
          </w:p>
        </w:tc>
        <w:tc>
          <w:tcPr>
            <w:tcW w:type="dxa" w:w="2592"/>
            <w:shd w:fill="EBF3FB" w:val="clear"/>
            <w:vAlign w:val="center"/>
          </w:tcPr>
          <w:p>
            <w:pPr>
              <w:jc w:val="center"/>
            </w:pPr>
            <w:r>
              <w:rPr>
                <w:rFonts w:ascii="Times New Roman" w:hAnsi="Times New Roman"/>
                <w:b w:val="0"/>
                <w:i w:val="0"/>
                <w:sz w:val="20"/>
              </w:rPr>
              <w:t>143,895,200</w:t>
            </w:r>
          </w:p>
        </w:tc>
        <w:tc>
          <w:tcPr>
            <w:tcW w:type="dxa" w:w="2016"/>
            <w:shd w:fill="EBF3FB" w:val="clear"/>
            <w:vAlign w:val="center"/>
          </w:tcPr>
          <w:p>
            <w:pPr>
              <w:jc w:val="center"/>
            </w:pPr>
            <w:r>
              <w:rPr>
                <w:rFonts w:ascii="Times New Roman" w:hAnsi="Times New Roman"/>
                <w:b w:val="0"/>
                <w:i w:val="0"/>
                <w:sz w:val="20"/>
              </w:rPr>
              <w:t>74,987*</w:t>
            </w:r>
          </w:p>
        </w:tc>
        <w:tc>
          <w:tcPr>
            <w:tcW w:type="dxa" w:w="2016"/>
            <w:shd w:fill="EBF3FB" w:val="clear"/>
            <w:vAlign w:val="center"/>
          </w:tcPr>
          <w:p>
            <w:pPr>
              <w:jc w:val="center"/>
            </w:pPr>
            <w:r>
              <w:rPr>
                <w:rFonts w:ascii="Times New Roman" w:hAnsi="Times New Roman"/>
                <w:b w:val="0"/>
                <w:i w:val="0"/>
                <w:sz w:val="20"/>
              </w:rPr>
              <w:t>52.1</w:t>
            </w:r>
          </w:p>
        </w:tc>
        <w:tc>
          <w:tcPr>
            <w:tcW w:type="dxa" w:w="2016"/>
            <w:shd w:fill="EBF3FB" w:val="clear"/>
            <w:vAlign w:val="center"/>
          </w:tcPr>
          <w:p>
            <w:pPr>
              <w:jc w:val="center"/>
            </w:pPr>
            <w:r>
              <w:rPr>
                <w:rFonts w:ascii="Times New Roman" w:hAnsi="Times New Roman"/>
                <w:b w:val="0"/>
                <w:i w:val="0"/>
                <w:sz w:val="20"/>
              </w:rPr>
              <w:t>100%</w:t>
            </w:r>
          </w:p>
        </w:tc>
      </w:tr>
    </w:tbl>
    <w:p/>
    <w:p>
      <w:pPr>
        <w:spacing w:before="160" w:after="120"/>
      </w:pPr>
      <w:r>
        <w:rPr>
          <w:rFonts w:ascii="Times New Roman" w:hAnsi="Times New Roman"/>
          <w:b/>
          <w:i w:val="0"/>
          <w:sz w:val="24"/>
        </w:rPr>
        <w:t>3.4 Mortality</w:t>
      </w:r>
    </w:p>
    <w:p>
      <w:pPr>
        <w:spacing w:before="0" w:after="120"/>
        <w:ind w:firstLine="576"/>
        <w:jc w:val="both"/>
      </w:pPr>
      <w:r>
        <w:rPr>
          <w:rFonts w:ascii="Times New Roman" w:hAnsi="Times New Roman"/>
          <w:b w:val="0"/>
          <w:i w:val="0"/>
          <w:sz w:val="24"/>
        </w:rPr>
        <w:t>Deaths data were extractable for 14 of the 62 reporting days (23 May to 2 June 2026) from the PDF text. As of 2 June 2026, 504 suspected deaths and 90 confirmed measles deaths had been recorded cumulatively since 15 March 2026. The confirmed CFR of 0.99% is consistent with measles mortality estimates for low- and middle-income countries without vitamin A supplementation programmes in place. Daily suspected deaths ranged from 3 to 16 per day during the period for which data were available. The distribution of deaths by district was reported in press releases but could not be extracted systematically due to PDF layout variability; Dhaka and Faridpur districts were cited most frequently in available reports.</w:t>
      </w:r>
    </w:p>
    <w:p>
      <w:pPr>
        <w:spacing w:before="160" w:after="120"/>
      </w:pPr>
      <w:r>
        <w:rPr>
          <w:rFonts w:ascii="Times New Roman" w:hAnsi="Times New Roman"/>
          <w:b/>
          <w:i w:val="0"/>
          <w:sz w:val="24"/>
        </w:rPr>
        <w:t>3.5 Vaccination Coverage and Incidence</w:t>
      </w:r>
    </w:p>
    <w:p>
      <w:pPr>
        <w:spacing w:before="0" w:after="120"/>
        <w:ind w:firstLine="576"/>
        <w:jc w:val="both"/>
      </w:pPr>
      <w:r>
        <w:rPr>
          <w:rFonts w:ascii="Times New Roman" w:hAnsi="Times New Roman"/>
          <w:b w:val="0"/>
          <w:i w:val="0"/>
          <w:sz w:val="24"/>
        </w:rPr>
        <w:t>The national Measles-Rubella Campaign 2026 achieved 102% overall coverage (18,452,281 doses administered against a target of 18,015,064 children). Coverage exceeded 100% in seven of eight divisions (range 99%–103%), reflecting catch-up of missed children. Despite this high coverage, the Pearson correlation between division-level MR campaign coverage and confirmed measles incidence per 100,000 was r = 0.10 (p = 0.82), indicating no statistically significant association (Table 3, Figure 4). This finding strongly suggests that the campaign, conducted during an active outbreak, was reactive rather than prophylactic, and that pre-existing immunity gaps accumulated prior to the campaign were the primary driver of transmission.</w:t>
      </w:r>
    </w:p>
    <w:p>
      <w:pPr>
        <w:spacing w:before="0" w:after="120"/>
        <w:ind w:firstLine="576"/>
        <w:jc w:val="both"/>
      </w:pPr>
      <w:r>
        <w:rPr>
          <w:rFonts w:ascii="Times New Roman" w:hAnsi="Times New Roman"/>
          <w:b w:val="0"/>
          <w:i/>
          <w:sz w:val="24"/>
        </w:rPr>
        <w:t>(See Figure 4: Vaccination coverage vs. incidence)</w:t>
      </w:r>
    </w:p>
    <w:p>
      <w:pPr>
        <w:spacing w:before="200" w:after="80"/>
      </w:pPr>
      <w:r>
        <w:rPr>
          <w:rFonts w:ascii="Times New Roman" w:hAnsi="Times New Roman"/>
          <w:b/>
          <w:i w:val="0"/>
          <w:sz w:val="22"/>
        </w:rPr>
        <w:t>Table 3. MR Campaign 2026 Coverage vs. Confirmed Measles Incidence by Division</w:t>
        <w:br/>
        <w:t>Pearson r = 0.10, p = 0.82 (no statistically significant correlation)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304"/>
            <w:shd w:fill="2E75B6" w:val="clear"/>
            <w:vAlign w:val="center"/>
          </w:tcPr>
          <w:p>
            <w:pPr>
              <w:jc w:val="center"/>
            </w:pPr>
            <w:r>
              <w:rPr>
                <w:rFonts w:ascii="Times New Roman" w:hAnsi="Times New Roman"/>
                <w:b/>
                <w:i w:val="0"/>
                <w:color w:val="FFFFFF"/>
                <w:sz w:val="20"/>
              </w:rPr>
              <w:t>Division</w:t>
            </w:r>
          </w:p>
        </w:tc>
        <w:tc>
          <w:tcPr>
            <w:tcW w:type="dxa" w:w="2592"/>
            <w:shd w:fill="2E75B6" w:val="clear"/>
            <w:vAlign w:val="center"/>
          </w:tcPr>
          <w:p>
            <w:pPr>
              <w:jc w:val="center"/>
            </w:pPr>
            <w:r>
              <w:rPr>
                <w:rFonts w:ascii="Times New Roman" w:hAnsi="Times New Roman"/>
                <w:b/>
                <w:i w:val="0"/>
                <w:color w:val="FFFFFF"/>
                <w:sz w:val="20"/>
              </w:rPr>
              <w:t>MR Campaign</w:t>
              <w:br/>
              <w:t>Coverage (%)</w:t>
            </w:r>
          </w:p>
        </w:tc>
        <w:tc>
          <w:tcPr>
            <w:tcW w:type="dxa" w:w="2592"/>
            <w:shd w:fill="2E75B6" w:val="clear"/>
            <w:vAlign w:val="center"/>
          </w:tcPr>
          <w:p>
            <w:pPr>
              <w:jc w:val="center"/>
            </w:pPr>
            <w:r>
              <w:rPr>
                <w:rFonts w:ascii="Times New Roman" w:hAnsi="Times New Roman"/>
                <w:b/>
                <w:i w:val="0"/>
                <w:color w:val="FFFFFF"/>
                <w:sz w:val="20"/>
              </w:rPr>
              <w:t>Confirmed Cases</w:t>
            </w:r>
          </w:p>
        </w:tc>
        <w:tc>
          <w:tcPr>
            <w:tcW w:type="dxa" w:w="2592"/>
            <w:shd w:fill="2E75B6" w:val="clear"/>
            <w:vAlign w:val="center"/>
          </w:tcPr>
          <w:p>
            <w:pPr>
              <w:jc w:val="center"/>
            </w:pPr>
            <w:r>
              <w:rPr>
                <w:rFonts w:ascii="Times New Roman" w:hAnsi="Times New Roman"/>
                <w:b/>
                <w:i w:val="0"/>
                <w:color w:val="FFFFFF"/>
                <w:sz w:val="20"/>
              </w:rPr>
              <w:t>Incidence</w:t>
              <w:br/>
              <w:t>/100,000</w:t>
            </w:r>
          </w:p>
        </w:tc>
      </w:tr>
      <w:tr>
        <w:tc>
          <w:tcPr>
            <w:tcW w:type="dxa" w:w="2304"/>
            <w:shd w:fill="EBF3FB" w:val="clear"/>
            <w:vAlign w:val="center"/>
          </w:tcPr>
          <w:p>
            <w:pPr>
              <w:jc w:val="left"/>
            </w:pPr>
            <w:r>
              <w:rPr>
                <w:rFonts w:ascii="Times New Roman" w:hAnsi="Times New Roman"/>
                <w:b w:val="0"/>
                <w:i w:val="0"/>
                <w:sz w:val="20"/>
              </w:rPr>
              <w:t>Dhaka</w:t>
            </w:r>
          </w:p>
        </w:tc>
        <w:tc>
          <w:tcPr>
            <w:tcW w:type="dxa" w:w="2592"/>
            <w:shd w:fill="EBF3FB" w:val="clear"/>
            <w:vAlign w:val="center"/>
          </w:tcPr>
          <w:p>
            <w:pPr>
              <w:jc w:val="center"/>
            </w:pPr>
            <w:r>
              <w:rPr>
                <w:rFonts w:ascii="Times New Roman" w:hAnsi="Times New Roman"/>
                <w:b w:val="0"/>
                <w:i w:val="0"/>
                <w:sz w:val="20"/>
              </w:rPr>
              <w:t>103%</w:t>
            </w:r>
          </w:p>
        </w:tc>
        <w:tc>
          <w:tcPr>
            <w:tcW w:type="dxa" w:w="2592"/>
            <w:shd w:fill="EBF3FB" w:val="clear"/>
            <w:vAlign w:val="center"/>
          </w:tcPr>
          <w:p>
            <w:pPr>
              <w:jc w:val="center"/>
            </w:pPr>
            <w:r>
              <w:rPr>
                <w:rFonts w:ascii="Times New Roman" w:hAnsi="Times New Roman"/>
                <w:b w:val="0"/>
                <w:i w:val="0"/>
                <w:sz w:val="20"/>
              </w:rPr>
              <w:t>34,497</w:t>
            </w:r>
          </w:p>
        </w:tc>
        <w:tc>
          <w:tcPr>
            <w:tcW w:type="dxa" w:w="2592"/>
            <w:shd w:fill="EBF3FB" w:val="clear"/>
            <w:vAlign w:val="center"/>
          </w:tcPr>
          <w:p>
            <w:pPr>
              <w:jc w:val="center"/>
            </w:pPr>
            <w:r>
              <w:rPr>
                <w:rFonts w:ascii="Times New Roman" w:hAnsi="Times New Roman"/>
                <w:b w:val="0"/>
                <w:i w:val="0"/>
                <w:sz w:val="20"/>
              </w:rPr>
              <w:t>95.7</w:t>
            </w:r>
          </w:p>
        </w:tc>
      </w:tr>
      <w:tr>
        <w:tc>
          <w:tcPr>
            <w:tcW w:type="dxa" w:w="2304"/>
            <w:vAlign w:val="center"/>
          </w:tcPr>
          <w:p>
            <w:pPr>
              <w:jc w:val="left"/>
            </w:pPr>
            <w:r>
              <w:rPr>
                <w:rFonts w:ascii="Times New Roman" w:hAnsi="Times New Roman"/>
                <w:b w:val="0"/>
                <w:i w:val="0"/>
                <w:sz w:val="20"/>
              </w:rPr>
              <w:t>Chattogram</w:t>
            </w:r>
          </w:p>
        </w:tc>
        <w:tc>
          <w:tcPr>
            <w:tcW w:type="dxa" w:w="2592"/>
            <w:vAlign w:val="center"/>
          </w:tcPr>
          <w:p>
            <w:pPr>
              <w:jc w:val="center"/>
            </w:pPr>
            <w:r>
              <w:rPr>
                <w:rFonts w:ascii="Times New Roman" w:hAnsi="Times New Roman"/>
                <w:b w:val="0"/>
                <w:i w:val="0"/>
                <w:sz w:val="20"/>
              </w:rPr>
              <w:t>103%</w:t>
            </w:r>
          </w:p>
        </w:tc>
        <w:tc>
          <w:tcPr>
            <w:tcW w:type="dxa" w:w="2592"/>
            <w:vAlign w:val="center"/>
          </w:tcPr>
          <w:p>
            <w:pPr>
              <w:jc w:val="center"/>
            </w:pPr>
            <w:r>
              <w:rPr>
                <w:rFonts w:ascii="Times New Roman" w:hAnsi="Times New Roman"/>
                <w:b w:val="0"/>
                <w:i w:val="0"/>
                <w:sz w:val="20"/>
              </w:rPr>
              <w:t>12,009</w:t>
            </w:r>
          </w:p>
        </w:tc>
        <w:tc>
          <w:tcPr>
            <w:tcW w:type="dxa" w:w="2592"/>
            <w:vAlign w:val="center"/>
          </w:tcPr>
          <w:p>
            <w:pPr>
              <w:jc w:val="center"/>
            </w:pPr>
            <w:r>
              <w:rPr>
                <w:rFonts w:ascii="Times New Roman" w:hAnsi="Times New Roman"/>
                <w:b w:val="0"/>
                <w:i w:val="0"/>
                <w:sz w:val="20"/>
              </w:rPr>
              <w:t>42.3</w:t>
            </w:r>
          </w:p>
        </w:tc>
      </w:tr>
      <w:tr>
        <w:tc>
          <w:tcPr>
            <w:tcW w:type="dxa" w:w="2304"/>
            <w:shd w:fill="EBF3FB" w:val="clear"/>
            <w:vAlign w:val="center"/>
          </w:tcPr>
          <w:p>
            <w:pPr>
              <w:jc w:val="left"/>
            </w:pPr>
            <w:r>
              <w:rPr>
                <w:rFonts w:ascii="Times New Roman" w:hAnsi="Times New Roman"/>
                <w:b w:val="0"/>
                <w:i w:val="0"/>
                <w:sz w:val="20"/>
              </w:rPr>
              <w:t>Rajshahi</w:t>
            </w:r>
          </w:p>
        </w:tc>
        <w:tc>
          <w:tcPr>
            <w:tcW w:type="dxa" w:w="2592"/>
            <w:shd w:fill="EBF3FB" w:val="clear"/>
            <w:vAlign w:val="center"/>
          </w:tcPr>
          <w:p>
            <w:pPr>
              <w:jc w:val="center"/>
            </w:pPr>
            <w:r>
              <w:rPr>
                <w:rFonts w:ascii="Times New Roman" w:hAnsi="Times New Roman"/>
                <w:b w:val="0"/>
                <w:i w:val="0"/>
                <w:sz w:val="20"/>
              </w:rPr>
              <w:t>103%</w:t>
            </w:r>
          </w:p>
        </w:tc>
        <w:tc>
          <w:tcPr>
            <w:tcW w:type="dxa" w:w="2592"/>
            <w:shd w:fill="EBF3FB" w:val="clear"/>
            <w:vAlign w:val="center"/>
          </w:tcPr>
          <w:p>
            <w:pPr>
              <w:jc w:val="center"/>
            </w:pPr>
            <w:r>
              <w:rPr>
                <w:rFonts w:ascii="Times New Roman" w:hAnsi="Times New Roman"/>
                <w:b w:val="0"/>
                <w:i w:val="0"/>
                <w:sz w:val="20"/>
              </w:rPr>
              <w:t>9,414</w:t>
            </w:r>
          </w:p>
        </w:tc>
        <w:tc>
          <w:tcPr>
            <w:tcW w:type="dxa" w:w="2592"/>
            <w:shd w:fill="EBF3FB" w:val="clear"/>
            <w:vAlign w:val="center"/>
          </w:tcPr>
          <w:p>
            <w:pPr>
              <w:jc w:val="center"/>
            </w:pPr>
            <w:r>
              <w:rPr>
                <w:rFonts w:ascii="Times New Roman" w:hAnsi="Times New Roman"/>
                <w:b w:val="0"/>
                <w:i w:val="0"/>
                <w:sz w:val="20"/>
              </w:rPr>
              <w:t>50.9</w:t>
            </w:r>
          </w:p>
        </w:tc>
      </w:tr>
      <w:tr>
        <w:tc>
          <w:tcPr>
            <w:tcW w:type="dxa" w:w="2304"/>
            <w:vAlign w:val="center"/>
          </w:tcPr>
          <w:p>
            <w:pPr>
              <w:jc w:val="left"/>
            </w:pPr>
            <w:r>
              <w:rPr>
                <w:rFonts w:ascii="Times New Roman" w:hAnsi="Times New Roman"/>
                <w:b w:val="0"/>
                <w:i w:val="0"/>
                <w:sz w:val="20"/>
              </w:rPr>
              <w:t>Barishal</w:t>
            </w:r>
          </w:p>
        </w:tc>
        <w:tc>
          <w:tcPr>
            <w:tcW w:type="dxa" w:w="2592"/>
            <w:vAlign w:val="center"/>
          </w:tcPr>
          <w:p>
            <w:pPr>
              <w:jc w:val="center"/>
            </w:pPr>
            <w:r>
              <w:rPr>
                <w:rFonts w:ascii="Times New Roman" w:hAnsi="Times New Roman"/>
                <w:b w:val="0"/>
                <w:i w:val="0"/>
                <w:sz w:val="20"/>
              </w:rPr>
              <w:t>101%</w:t>
            </w:r>
          </w:p>
        </w:tc>
        <w:tc>
          <w:tcPr>
            <w:tcW w:type="dxa" w:w="2592"/>
            <w:vAlign w:val="center"/>
          </w:tcPr>
          <w:p>
            <w:pPr>
              <w:jc w:val="center"/>
            </w:pPr>
            <w:r>
              <w:rPr>
                <w:rFonts w:ascii="Times New Roman" w:hAnsi="Times New Roman"/>
                <w:b w:val="0"/>
                <w:i w:val="0"/>
                <w:sz w:val="20"/>
              </w:rPr>
              <w:t>6,634</w:t>
            </w:r>
          </w:p>
        </w:tc>
        <w:tc>
          <w:tcPr>
            <w:tcW w:type="dxa" w:w="2592"/>
            <w:vAlign w:val="center"/>
          </w:tcPr>
          <w:p>
            <w:pPr>
              <w:jc w:val="center"/>
            </w:pPr>
            <w:r>
              <w:rPr>
                <w:rFonts w:ascii="Times New Roman" w:hAnsi="Times New Roman"/>
                <w:b w:val="0"/>
                <w:i w:val="0"/>
                <w:sz w:val="20"/>
              </w:rPr>
              <w:t>79.7</w:t>
            </w:r>
          </w:p>
        </w:tc>
      </w:tr>
      <w:tr>
        <w:tc>
          <w:tcPr>
            <w:tcW w:type="dxa" w:w="2304"/>
            <w:shd w:fill="EBF3FB" w:val="clear"/>
            <w:vAlign w:val="center"/>
          </w:tcPr>
          <w:p>
            <w:pPr>
              <w:jc w:val="left"/>
            </w:pPr>
            <w:r>
              <w:rPr>
                <w:rFonts w:ascii="Times New Roman" w:hAnsi="Times New Roman"/>
                <w:b w:val="0"/>
                <w:i w:val="0"/>
                <w:sz w:val="20"/>
              </w:rPr>
              <w:t>Khulna</w:t>
            </w:r>
          </w:p>
        </w:tc>
        <w:tc>
          <w:tcPr>
            <w:tcW w:type="dxa" w:w="2592"/>
            <w:shd w:fill="EBF3FB" w:val="clear"/>
            <w:vAlign w:val="center"/>
          </w:tcPr>
          <w:p>
            <w:pPr>
              <w:jc w:val="center"/>
            </w:pPr>
            <w:r>
              <w:rPr>
                <w:rFonts w:ascii="Times New Roman" w:hAnsi="Times New Roman"/>
                <w:b w:val="0"/>
                <w:i w:val="0"/>
                <w:sz w:val="20"/>
              </w:rPr>
              <w:t>101%</w:t>
            </w:r>
          </w:p>
        </w:tc>
        <w:tc>
          <w:tcPr>
            <w:tcW w:type="dxa" w:w="2592"/>
            <w:shd w:fill="EBF3FB" w:val="clear"/>
            <w:vAlign w:val="center"/>
          </w:tcPr>
          <w:p>
            <w:pPr>
              <w:jc w:val="center"/>
            </w:pPr>
            <w:r>
              <w:rPr>
                <w:rFonts w:ascii="Times New Roman" w:hAnsi="Times New Roman"/>
                <w:b w:val="0"/>
                <w:i w:val="0"/>
                <w:sz w:val="20"/>
              </w:rPr>
              <w:t>5,422</w:t>
            </w:r>
          </w:p>
        </w:tc>
        <w:tc>
          <w:tcPr>
            <w:tcW w:type="dxa" w:w="2592"/>
            <w:shd w:fill="EBF3FB" w:val="clear"/>
            <w:vAlign w:val="center"/>
          </w:tcPr>
          <w:p>
            <w:pPr>
              <w:jc w:val="center"/>
            </w:pPr>
            <w:r>
              <w:rPr>
                <w:rFonts w:ascii="Times New Roman" w:hAnsi="Times New Roman"/>
                <w:b w:val="0"/>
                <w:i w:val="0"/>
                <w:sz w:val="20"/>
              </w:rPr>
              <w:t>34.8</w:t>
            </w:r>
          </w:p>
        </w:tc>
      </w:tr>
      <w:tr>
        <w:tc>
          <w:tcPr>
            <w:tcW w:type="dxa" w:w="2304"/>
            <w:vAlign w:val="center"/>
          </w:tcPr>
          <w:p>
            <w:pPr>
              <w:jc w:val="left"/>
            </w:pPr>
            <w:r>
              <w:rPr>
                <w:rFonts w:ascii="Times New Roman" w:hAnsi="Times New Roman"/>
                <w:b w:val="0"/>
                <w:i w:val="0"/>
                <w:sz w:val="20"/>
              </w:rPr>
              <w:t>Sylhet</w:t>
            </w:r>
          </w:p>
        </w:tc>
        <w:tc>
          <w:tcPr>
            <w:tcW w:type="dxa" w:w="2592"/>
            <w:vAlign w:val="center"/>
          </w:tcPr>
          <w:p>
            <w:pPr>
              <w:jc w:val="center"/>
            </w:pPr>
            <w:r>
              <w:rPr>
                <w:rFonts w:ascii="Times New Roman" w:hAnsi="Times New Roman"/>
                <w:b w:val="0"/>
                <w:i w:val="0"/>
                <w:sz w:val="20"/>
              </w:rPr>
              <w:t>99%</w:t>
            </w:r>
          </w:p>
        </w:tc>
        <w:tc>
          <w:tcPr>
            <w:tcW w:type="dxa" w:w="2592"/>
            <w:vAlign w:val="center"/>
          </w:tcPr>
          <w:p>
            <w:pPr>
              <w:jc w:val="center"/>
            </w:pPr>
            <w:r>
              <w:rPr>
                <w:rFonts w:ascii="Times New Roman" w:hAnsi="Times New Roman"/>
                <w:b w:val="0"/>
                <w:i w:val="0"/>
                <w:sz w:val="20"/>
              </w:rPr>
              <w:t>3,688</w:t>
            </w:r>
          </w:p>
        </w:tc>
        <w:tc>
          <w:tcPr>
            <w:tcW w:type="dxa" w:w="2592"/>
            <w:vAlign w:val="center"/>
          </w:tcPr>
          <w:p>
            <w:pPr>
              <w:jc w:val="center"/>
            </w:pPr>
            <w:r>
              <w:rPr>
                <w:rFonts w:ascii="Times New Roman" w:hAnsi="Times New Roman"/>
                <w:b w:val="0"/>
                <w:i w:val="0"/>
                <w:sz w:val="20"/>
              </w:rPr>
              <w:t>36.8</w:t>
            </w:r>
          </w:p>
        </w:tc>
      </w:tr>
      <w:tr>
        <w:tc>
          <w:tcPr>
            <w:tcW w:type="dxa" w:w="2304"/>
            <w:shd w:fill="EBF3FB" w:val="clear"/>
            <w:vAlign w:val="center"/>
          </w:tcPr>
          <w:p>
            <w:pPr>
              <w:jc w:val="left"/>
            </w:pPr>
            <w:r>
              <w:rPr>
                <w:rFonts w:ascii="Times New Roman" w:hAnsi="Times New Roman"/>
                <w:b w:val="0"/>
                <w:i w:val="0"/>
                <w:sz w:val="20"/>
              </w:rPr>
              <w:t>Rangpur</w:t>
            </w:r>
          </w:p>
        </w:tc>
        <w:tc>
          <w:tcPr>
            <w:tcW w:type="dxa" w:w="2592"/>
            <w:shd w:fill="EBF3FB" w:val="clear"/>
            <w:vAlign w:val="center"/>
          </w:tcPr>
          <w:p>
            <w:pPr>
              <w:jc w:val="center"/>
            </w:pPr>
            <w:r>
              <w:rPr>
                <w:rFonts w:ascii="Times New Roman" w:hAnsi="Times New Roman"/>
                <w:b w:val="0"/>
                <w:i w:val="0"/>
                <w:sz w:val="20"/>
              </w:rPr>
              <w:t>103%</w:t>
            </w:r>
          </w:p>
        </w:tc>
        <w:tc>
          <w:tcPr>
            <w:tcW w:type="dxa" w:w="2592"/>
            <w:shd w:fill="EBF3FB" w:val="clear"/>
            <w:vAlign w:val="center"/>
          </w:tcPr>
          <w:p>
            <w:pPr>
              <w:jc w:val="center"/>
            </w:pPr>
            <w:r>
              <w:rPr>
                <w:rFonts w:ascii="Times New Roman" w:hAnsi="Times New Roman"/>
                <w:b w:val="0"/>
                <w:i w:val="0"/>
                <w:sz w:val="20"/>
              </w:rPr>
              <w:t>3,323</w:t>
            </w:r>
          </w:p>
        </w:tc>
        <w:tc>
          <w:tcPr>
            <w:tcW w:type="dxa" w:w="2592"/>
            <w:shd w:fill="EBF3FB" w:val="clear"/>
            <w:vAlign w:val="center"/>
          </w:tcPr>
          <w:p>
            <w:pPr>
              <w:jc w:val="center"/>
            </w:pPr>
            <w:r>
              <w:rPr>
                <w:rFonts w:ascii="Times New Roman" w:hAnsi="Times New Roman"/>
                <w:b w:val="0"/>
                <w:i w:val="0"/>
                <w:sz w:val="20"/>
              </w:rPr>
              <w:t>21.2</w:t>
            </w:r>
          </w:p>
        </w:tc>
      </w:tr>
      <w:tr>
        <w:tc>
          <w:tcPr>
            <w:tcW w:type="dxa" w:w="2304"/>
            <w:vAlign w:val="center"/>
          </w:tcPr>
          <w:p>
            <w:pPr>
              <w:jc w:val="left"/>
            </w:pPr>
            <w:r>
              <w:rPr>
                <w:rFonts w:ascii="Times New Roman" w:hAnsi="Times New Roman"/>
                <w:b w:val="0"/>
                <w:i w:val="0"/>
                <w:sz w:val="20"/>
              </w:rPr>
              <w:t>Mymensingh</w:t>
            </w:r>
          </w:p>
        </w:tc>
        <w:tc>
          <w:tcPr>
            <w:tcW w:type="dxa" w:w="2592"/>
            <w:vAlign w:val="center"/>
          </w:tcPr>
          <w:p>
            <w:pPr>
              <w:jc w:val="center"/>
            </w:pPr>
            <w:r>
              <w:rPr>
                <w:rFonts w:ascii="Times New Roman" w:hAnsi="Times New Roman"/>
                <w:b w:val="0"/>
                <w:i w:val="0"/>
                <w:sz w:val="20"/>
              </w:rPr>
              <w:t>102%</w:t>
            </w:r>
          </w:p>
        </w:tc>
        <w:tc>
          <w:tcPr>
            <w:tcW w:type="dxa" w:w="2592"/>
            <w:vAlign w:val="center"/>
          </w:tcPr>
          <w:p>
            <w:pPr>
              <w:jc w:val="center"/>
            </w:pPr>
            <w:r>
              <w:rPr>
                <w:rFonts w:ascii="Times New Roman" w:hAnsi="Times New Roman"/>
                <w:b w:val="0"/>
                <w:i w:val="0"/>
                <w:sz w:val="20"/>
              </w:rPr>
              <w:t>N/A</w:t>
            </w:r>
          </w:p>
        </w:tc>
        <w:tc>
          <w:tcPr>
            <w:tcW w:type="dxa" w:w="2592"/>
            <w:vAlign w:val="center"/>
          </w:tcPr>
          <w:p>
            <w:pPr>
              <w:jc w:val="center"/>
            </w:pPr>
            <w:r>
              <w:rPr>
                <w:rFonts w:ascii="Times New Roman" w:hAnsi="Times New Roman"/>
                <w:b w:val="0"/>
                <w:i w:val="0"/>
                <w:sz w:val="20"/>
              </w:rPr>
              <w:t>N/A</w:t>
            </w:r>
          </w:p>
        </w:tc>
      </w:tr>
    </w:tbl>
    <w:p/>
    <w:p>
      <w:pPr>
        <w:spacing w:before="240" w:after="120"/>
      </w:pPr>
      <w:r>
        <w:rPr>
          <w:rFonts w:ascii="Times New Roman" w:hAnsi="Times New Roman"/>
          <w:b/>
          <w:i w:val="0"/>
          <w:sz w:val="26"/>
        </w:rPr>
        <w:t>4. Discussion</w:t>
      </w:r>
    </w:p>
    <w:p>
      <w:pPr>
        <w:spacing w:before="160" w:after="120"/>
      </w:pPr>
      <w:r>
        <w:rPr>
          <w:rFonts w:ascii="Times New Roman" w:hAnsi="Times New Roman"/>
          <w:b/>
          <w:i w:val="0"/>
          <w:sz w:val="24"/>
        </w:rPr>
        <w:t>4.1 Summary of Findings</w:t>
      </w:r>
    </w:p>
    <w:p>
      <w:pPr>
        <w:spacing w:before="0" w:after="120"/>
        <w:ind w:firstLine="576"/>
        <w:jc w:val="both"/>
      </w:pPr>
      <w:r>
        <w:rPr>
          <w:rFonts w:ascii="Times New Roman" w:hAnsi="Times New Roman"/>
          <w:b w:val="0"/>
          <w:i w:val="0"/>
          <w:sz w:val="24"/>
        </w:rPr>
        <w:t>This study presents the first systematic epidemiological analysis of the 2026 measles outbreak in Bangladesh, using 62 days of publicly available national surveillance data. The outbreak was characterised by rapid exponential growth (doubling time 6.1 days), high hospitalisation burden (80.6% of suspected cases), and strong geographic concentration in Dhaka division (47% of national confirmed cases). Despite achieving over 100% MR campaign coverage nationally, no statistically significant correlation between vaccination coverage and division-level incidence was observed.</w:t>
      </w:r>
    </w:p>
    <w:p>
      <w:pPr>
        <w:spacing w:before="160" w:after="120"/>
      </w:pPr>
      <w:r>
        <w:rPr>
          <w:rFonts w:ascii="Times New Roman" w:hAnsi="Times New Roman"/>
          <w:b/>
          <w:i w:val="0"/>
          <w:sz w:val="24"/>
        </w:rPr>
        <w:t>4.2 Rapid Transmission and Urban Concentration</w:t>
      </w:r>
    </w:p>
    <w:p>
      <w:pPr>
        <w:spacing w:before="0" w:after="120"/>
        <w:ind w:firstLine="576"/>
        <w:jc w:val="both"/>
      </w:pPr>
      <w:r>
        <w:rPr>
          <w:rFonts w:ascii="Times New Roman" w:hAnsi="Times New Roman"/>
          <w:b w:val="0"/>
          <w:i w:val="0"/>
          <w:sz w:val="24"/>
        </w:rPr>
        <w:t>The estimated doubling time of 6.1 days during the early outbreak phase is consistent with a high effective reproduction number (Rₑ &gt; 1), indicating ongoing transmission in a susceptible population. The concentration of 47% of cases in Dhaka division is not surprising given Dhaka's extreme population density (approximately 44,000 persons per km² in the metropolitan area), high household crowding, and large populations of urban migrants with potentially incomplete vaccination histories. Urban measles outbreaks disproportionately affect densely populated megacities globally, and Dhaka follows this pattern.</w:t>
      </w:r>
    </w:p>
    <w:p>
      <w:pPr>
        <w:spacing w:before="0" w:after="120"/>
        <w:ind w:firstLine="576"/>
        <w:jc w:val="both"/>
      </w:pPr>
      <w:r>
        <w:rPr>
          <w:rFonts w:ascii="Times New Roman" w:hAnsi="Times New Roman"/>
          <w:b w:val="0"/>
          <w:i w:val="0"/>
          <w:sz w:val="24"/>
        </w:rPr>
        <w:t>Barishal division recorded the highest incidence rate per 100,000 (79.7) despite having the smallest population, suggesting intense transmission in a geographically compact area. Conversely, Rangpur — a largely rural, less densely populated division — recorded the lowest incidence (21.2 per 100,000), consistent with lower person-to-person contact rates in rural settings.</w:t>
      </w:r>
    </w:p>
    <w:p>
      <w:pPr>
        <w:spacing w:before="160" w:after="120"/>
      </w:pPr>
      <w:r>
        <w:rPr>
          <w:rFonts w:ascii="Times New Roman" w:hAnsi="Times New Roman"/>
          <w:b/>
          <w:i w:val="0"/>
          <w:sz w:val="24"/>
        </w:rPr>
        <w:t>4.3 Vaccination Coverage and Immunity Gaps</w:t>
      </w:r>
    </w:p>
    <w:p>
      <w:pPr>
        <w:spacing w:before="0" w:after="120"/>
        <w:ind w:firstLine="576"/>
        <w:jc w:val="both"/>
      </w:pPr>
      <w:r>
        <w:rPr>
          <w:rFonts w:ascii="Times New Roman" w:hAnsi="Times New Roman"/>
          <w:b w:val="0"/>
          <w:i w:val="0"/>
          <w:sz w:val="24"/>
        </w:rPr>
        <w:t>The absence of a significant inverse correlation between MR campaign coverage and incidence (r = 0.10, p = 0.82) is a critical finding. It indicates that high campaign coverage, achieved during an active outbreak, did not prevent ongoing transmission at the division level. Several explanations merit consideration.</w:t>
      </w:r>
    </w:p>
    <w:p>
      <w:pPr>
        <w:spacing w:before="0" w:after="120"/>
        <w:ind w:firstLine="576"/>
        <w:jc w:val="both"/>
      </w:pPr>
      <w:r>
        <w:rPr>
          <w:rFonts w:ascii="Times New Roman" w:hAnsi="Times New Roman"/>
          <w:b w:val="0"/>
          <w:i w:val="0"/>
          <w:sz w:val="24"/>
        </w:rPr>
        <w:t>First, the MR campaign was reactive: it was conducted in response to the outbreak rather than in advance of it. Children vaccinated during the campaign had insufficient time to develop full protective immunity before exposure. Second, pre-existing immunity gaps — accumulated over years of suboptimal routine immunisation, pandemic-era service disruptions, and cohorts of unvaccinated children — provided a large susceptible pool that the campaign could not rapidly eliminate. Third, vaccine effectiveness in field conditions may be reduced by cold-chain failures, particularly in low-resource urban settings. Fourth, coverage reported at division level may mask sub-district heterogeneity, where pockets of unvaccinated children sustain localised transmission chains even in a division with nominally high aggregate coverage.</w:t>
      </w:r>
    </w:p>
    <w:p>
      <w:pPr>
        <w:spacing w:before="160" w:after="120"/>
      </w:pPr>
      <w:r>
        <w:rPr>
          <w:rFonts w:ascii="Times New Roman" w:hAnsi="Times New Roman"/>
          <w:b/>
          <w:i w:val="0"/>
          <w:sz w:val="24"/>
        </w:rPr>
        <w:t>4.4 Mortality</w:t>
      </w:r>
    </w:p>
    <w:p>
      <w:pPr>
        <w:spacing w:before="0" w:after="120"/>
        <w:ind w:firstLine="576"/>
        <w:jc w:val="both"/>
      </w:pPr>
      <w:r>
        <w:rPr>
          <w:rFonts w:ascii="Times New Roman" w:hAnsi="Times New Roman"/>
          <w:b w:val="0"/>
          <w:i w:val="0"/>
          <w:sz w:val="24"/>
        </w:rPr>
        <w:t>The confirmed CFR of 0.99% is higher than estimates from high-income countries (typically &lt;0.1%) but within the range reported for low- and middle-income settings (0.1%–5.0%). Measles mortality is strongly associated with malnutrition, vitamin A deficiency, and inadequate access to supportive care. The high hospitalisation rate (80.6% of suspected cases) suggests either clinical severity or health-seeking behaviour that triages severe cases to hospital, while milder cases may be managed at home and not reported. Deaths data were incomplete across the full study period; mortality trends could not be reliably characterised, which is a significant limitation of this analysis.</w:t>
      </w:r>
    </w:p>
    <w:p>
      <w:pPr>
        <w:spacing w:before="160" w:after="120"/>
      </w:pPr>
      <w:r>
        <w:rPr>
          <w:rFonts w:ascii="Times New Roman" w:hAnsi="Times New Roman"/>
          <w:b/>
          <w:i w:val="0"/>
          <w:sz w:val="24"/>
        </w:rPr>
        <w:t>4.5 Comparison with Prior Bangladesh Outbreaks</w:t>
      </w:r>
    </w:p>
    <w:p>
      <w:pPr>
        <w:spacing w:before="0" w:after="120"/>
        <w:ind w:firstLine="576"/>
        <w:jc w:val="both"/>
      </w:pPr>
      <w:r>
        <w:rPr>
          <w:rFonts w:ascii="Times New Roman" w:hAnsi="Times New Roman"/>
          <w:b w:val="0"/>
          <w:i w:val="0"/>
          <w:sz w:val="24"/>
        </w:rPr>
        <w:t>Prior to this outbreak, Bangladesh documented measles outbreaks in 2012 and 2018–2019, primarily affecting under-five children and adolescents in urban slums. The 2026 outbreak appears to be the largest measles event in Bangladesh's documented history in terms of absolute case counts, with over 73,000 suspected cases reported in less than three months of active surveillance. Historical outbreaks were associated with incomplete two-dose vaccination schedules and delays in supplementary immunisation activities.</w:t>
      </w:r>
    </w:p>
    <w:p>
      <w:pPr>
        <w:spacing w:before="160" w:after="120"/>
      </w:pPr>
      <w:r>
        <w:rPr>
          <w:rFonts w:ascii="Times New Roman" w:hAnsi="Times New Roman"/>
          <w:b/>
          <w:i w:val="0"/>
          <w:sz w:val="24"/>
        </w:rPr>
        <w:t>4.6 Limitations</w:t>
      </w:r>
    </w:p>
    <w:p>
      <w:pPr>
        <w:pStyle w:val="ListBullet"/>
        <w:spacing w:after="80"/>
      </w:pPr>
      <w:r>
        <w:rPr>
          <w:rFonts w:ascii="Times New Roman" w:hAnsi="Times New Roman"/>
          <w:b w:val="0"/>
          <w:i w:val="0"/>
          <w:sz w:val="24"/>
        </w:rPr>
        <w:t>Aggregated data only: No individual patient data (age, sex, vaccination status, district, clinical outcome) were available from the daily press releases, preventing age-stratified or sex-stratified analyses.</w:t>
      </w:r>
    </w:p>
    <w:p>
      <w:pPr>
        <w:pStyle w:val="ListBullet"/>
        <w:spacing w:after="80"/>
      </w:pPr>
      <w:r>
        <w:rPr>
          <w:rFonts w:ascii="Times New Roman" w:hAnsi="Times New Roman"/>
          <w:b w:val="0"/>
          <w:i w:val="0"/>
          <w:sz w:val="24"/>
        </w:rPr>
        <w:t>Case definition sensitivity: Suspected cases include all febrile rash illnesses; the 12.5% confirmation rate suggests a substantial proportion of suspected cases may be non-measles illnesses (e.g., dengue, rubella), particularly in the context of concurrent dengue circulation in Bangladesh.</w:t>
      </w:r>
    </w:p>
    <w:p>
      <w:pPr>
        <w:pStyle w:val="ListBullet"/>
        <w:spacing w:after="80"/>
      </w:pPr>
      <w:r>
        <w:rPr>
          <w:rFonts w:ascii="Times New Roman" w:hAnsi="Times New Roman"/>
          <w:b w:val="0"/>
          <w:i w:val="0"/>
          <w:sz w:val="24"/>
        </w:rPr>
        <w:t>Incomplete deaths data: Mortality figures were reliably extractable for only 14 of 62 study days due to PDF layout variability. Deaths for earlier dates may be underestimated.</w:t>
      </w:r>
    </w:p>
    <w:p>
      <w:pPr>
        <w:pStyle w:val="ListBullet"/>
        <w:spacing w:after="80"/>
      </w:pPr>
      <w:r>
        <w:rPr>
          <w:rFonts w:ascii="Times New Roman" w:hAnsi="Times New Roman"/>
          <w:b w:val="0"/>
          <w:i w:val="0"/>
          <w:sz w:val="24"/>
        </w:rPr>
        <w:t>Division-level vaccination data: Campaign coverage data were available only at division level (n = 8), limiting statistical power for correlation analyses.</w:t>
      </w:r>
    </w:p>
    <w:p>
      <w:pPr>
        <w:pStyle w:val="ListBullet"/>
        <w:spacing w:after="80"/>
      </w:pPr>
      <w:r>
        <w:rPr>
          <w:rFonts w:ascii="Times New Roman" w:hAnsi="Times New Roman"/>
          <w:b w:val="0"/>
          <w:i w:val="0"/>
          <w:sz w:val="24"/>
        </w:rPr>
        <w:t>No pre-outbreak baseline: Press release data began on 15 March 2026; the true onset of the outbreak and its initial exponential growth phase are not captured.</w:t>
      </w:r>
    </w:p>
    <w:p>
      <w:pPr>
        <w:pStyle w:val="ListBullet"/>
        <w:spacing w:after="80"/>
      </w:pPr>
      <w:r>
        <w:rPr>
          <w:rFonts w:ascii="Times New Roman" w:hAnsi="Times New Roman"/>
          <w:b w:val="0"/>
          <w:i w:val="0"/>
          <w:sz w:val="24"/>
        </w:rPr>
        <w:t>Data source dependency: All data were derived from a single government source (DGHS). Independent verification was not possible.</w:t>
      </w:r>
    </w:p>
    <w:p/>
    <w:p>
      <w:pPr>
        <w:spacing w:before="240" w:after="120"/>
      </w:pPr>
      <w:r>
        <w:rPr>
          <w:rFonts w:ascii="Times New Roman" w:hAnsi="Times New Roman"/>
          <w:b/>
          <w:i w:val="0"/>
          <w:sz w:val="26"/>
        </w:rPr>
        <w:t>5. Conclusions</w:t>
      </w:r>
    </w:p>
    <w:p>
      <w:pPr>
        <w:spacing w:before="0" w:after="120"/>
        <w:ind w:firstLine="576"/>
        <w:jc w:val="both"/>
      </w:pPr>
      <w:r>
        <w:rPr>
          <w:rFonts w:ascii="Times New Roman" w:hAnsi="Times New Roman"/>
          <w:b w:val="0"/>
          <w:i w:val="0"/>
          <w:sz w:val="24"/>
        </w:rPr>
        <w:t>The 2026 measles outbreak in Bangladesh is one of the largest on record, with over 73,000 suspected and 9,136 confirmed cases reported in 62 days, 504 suspected deaths, and a rapid early doubling time of 6.1 days. The outbreak was disproportionately concentrated in Dhaka — Bangladesh's most densely populated division — with no statistically significant relationship between MR campaign coverage and division-level incidence, highlighting the limitations of reactive vaccination campaigns in interrupting active transmission.</w:t>
      </w:r>
    </w:p>
    <w:p>
      <w:pPr>
        <w:spacing w:before="0" w:after="120"/>
        <w:ind w:firstLine="576"/>
        <w:jc w:val="both"/>
      </w:pPr>
      <w:r>
        <w:rPr>
          <w:rFonts w:ascii="Times New Roman" w:hAnsi="Times New Roman"/>
          <w:b w:val="0"/>
          <w:i w:val="0"/>
          <w:sz w:val="24"/>
        </w:rPr>
        <w:t>These findings underscore three urgent policy priorities: (i) strengthening routine two-dose MR immunisation to maintain population immunity above the measles elimination threshold (≥95% two-dose coverage); (ii) implementing targeted supplementary immunisation in high-density urban communities — particularly Dhaka metropolitan area — well in advance of outbreak risk periods; and (iii) improving real-time surveillance infrastructure, including laboratory confirmation capacity, to enable timely and granular epidemiological response.</w:t>
      </w:r>
    </w:p>
    <w:p>
      <w:pPr>
        <w:spacing w:before="0" w:after="120"/>
        <w:ind w:firstLine="576"/>
        <w:jc w:val="both"/>
      </w:pPr>
      <w:r>
        <w:rPr>
          <w:rFonts w:ascii="Times New Roman" w:hAnsi="Times New Roman"/>
          <w:b w:val="0"/>
          <w:i w:val="0"/>
          <w:sz w:val="24"/>
        </w:rPr>
        <w:t>Continued daily surveillance data publication by DGHS is a commendable example of government transparency during a public health emergency. Future analyses incorporating age, sex, district-level, and vaccination-status data would substantially improve the epidemiological characterisation of this outbreak.</w:t>
      </w:r>
    </w:p>
    <w:p>
      <w:pPr>
        <w:spacing w:before="240" w:after="120"/>
      </w:pPr>
      <w:r>
        <w:rPr>
          <w:rFonts w:ascii="Times New Roman" w:hAnsi="Times New Roman"/>
          <w:b/>
          <w:i w:val="0"/>
          <w:sz w:val="26"/>
        </w:rPr>
        <w:t>Data Availability</w:t>
      </w:r>
    </w:p>
    <w:p>
      <w:pPr>
        <w:spacing w:before="0" w:after="120"/>
        <w:jc w:val="both"/>
      </w:pPr>
      <w:r>
        <w:rPr>
          <w:rFonts w:ascii="Times New Roman" w:hAnsi="Times New Roman"/>
          <w:b w:val="0"/>
          <w:i w:val="0"/>
          <w:sz w:val="24"/>
        </w:rPr>
        <w:t>All data, analysis scripts, and figures are publicly available at: https://github.com/khalilurrrahmanridoykhan/bangladesh-measles-2026. The primary data source is the DGHS Bangladesh press release portal: https://dghs.gov.bd/pages/press-releases/.</w:t>
      </w:r>
    </w:p>
    <w:p>
      <w:pPr>
        <w:spacing w:before="240" w:after="120"/>
      </w:pPr>
      <w:r>
        <w:rPr>
          <w:rFonts w:ascii="Times New Roman" w:hAnsi="Times New Roman"/>
          <w:b/>
          <w:i w:val="0"/>
          <w:sz w:val="26"/>
        </w:rPr>
        <w:t>Competing Interests</w:t>
      </w:r>
    </w:p>
    <w:p>
      <w:pPr>
        <w:spacing w:before="0" w:after="120"/>
        <w:jc w:val="both"/>
      </w:pPr>
      <w:r>
        <w:rPr>
          <w:rFonts w:ascii="Times New Roman" w:hAnsi="Times New Roman"/>
          <w:b w:val="0"/>
          <w:i w:val="0"/>
          <w:sz w:val="24"/>
        </w:rPr>
        <w:t>The author declares no competing interests.</w:t>
      </w:r>
    </w:p>
    <w:p>
      <w:pPr>
        <w:spacing w:before="240" w:after="120"/>
      </w:pPr>
      <w:r>
        <w:rPr>
          <w:rFonts w:ascii="Times New Roman" w:hAnsi="Times New Roman"/>
          <w:b/>
          <w:i w:val="0"/>
          <w:sz w:val="26"/>
        </w:rPr>
        <w:t>Funding</w:t>
      </w:r>
    </w:p>
    <w:p>
      <w:pPr>
        <w:spacing w:before="0" w:after="120"/>
        <w:jc w:val="both"/>
      </w:pPr>
      <w:r>
        <w:rPr>
          <w:rFonts w:ascii="Times New Roman" w:hAnsi="Times New Roman"/>
          <w:b w:val="0"/>
          <w:i w:val="0"/>
          <w:sz w:val="24"/>
        </w:rPr>
        <w:t>This research received no specific funding from any public, commercial, or not-for-profit funding agency.</w:t>
      </w:r>
    </w:p>
    <w:p>
      <w:pPr>
        <w:spacing w:before="240" w:after="120"/>
      </w:pPr>
      <w:r>
        <w:rPr>
          <w:rFonts w:ascii="Times New Roman" w:hAnsi="Times New Roman"/>
          <w:b/>
          <w:i w:val="0"/>
          <w:sz w:val="26"/>
        </w:rPr>
        <w:t>Acknowledgements</w:t>
      </w:r>
    </w:p>
    <w:p>
      <w:pPr>
        <w:spacing w:before="0" w:after="120"/>
        <w:jc w:val="both"/>
      </w:pPr>
      <w:r>
        <w:rPr>
          <w:rFonts w:ascii="Times New Roman" w:hAnsi="Times New Roman"/>
          <w:b w:val="0"/>
          <w:i w:val="0"/>
          <w:sz w:val="24"/>
        </w:rPr>
        <w:t>The author acknowledges the Directorate General of Health Services (DGHS), Government of Bangladesh, for the daily public release of measles surveillance data throughout the 2026 outbreak. The transparency of this reporting enabled independent epidemiological analysis.</w:t>
      </w:r>
    </w:p>
    <w:p>
      <w:pPr>
        <w:spacing w:before="240" w:after="120"/>
      </w:pPr>
      <w:r>
        <w:rPr>
          <w:rFonts w:ascii="Times New Roman" w:hAnsi="Times New Roman"/>
          <w:b/>
          <w:i w:val="0"/>
          <w:sz w:val="26"/>
        </w:rPr>
        <w:t>References</w:t>
      </w:r>
    </w:p>
    <w:p>
      <w:pPr>
        <w:spacing w:after="100"/>
        <w:ind w:left="576" w:hanging="576"/>
      </w:pPr>
      <w:r>
        <w:rPr>
          <w:rFonts w:ascii="Times New Roman" w:hAnsi="Times New Roman"/>
          <w:b w:val="0"/>
          <w:i w:val="0"/>
          <w:sz w:val="22"/>
        </w:rPr>
        <w:t>1. World Health Organization (WHO). Measles. Geneva: WHO; 2023. Available from: https://www.who.int/news-room/fact-sheets/detail/measles</w:t>
      </w:r>
    </w:p>
    <w:p>
      <w:pPr>
        <w:spacing w:after="100"/>
        <w:ind w:left="576" w:hanging="576"/>
      </w:pPr>
      <w:r>
        <w:rPr>
          <w:rFonts w:ascii="Times New Roman" w:hAnsi="Times New Roman"/>
          <w:b w:val="0"/>
          <w:i w:val="0"/>
          <w:sz w:val="22"/>
        </w:rPr>
        <w:t>2. Directorate General of Health Services (DGHS), Bangladesh. Daily Measles (হাম) Press Releases. Dhaka: DGHS; 2026. Available from: https://dghs.gov.bd/pages/press-releases/</w:t>
      </w:r>
    </w:p>
    <w:p>
      <w:pPr>
        <w:spacing w:after="100"/>
        <w:ind w:left="576" w:hanging="576"/>
      </w:pPr>
      <w:r>
        <w:rPr>
          <w:rFonts w:ascii="Times New Roman" w:hAnsi="Times New Roman"/>
          <w:b w:val="0"/>
          <w:i w:val="0"/>
          <w:sz w:val="22"/>
        </w:rPr>
        <w:t>3. Moss WJ. Measles. Lancet. 2017;390(10111):2490–2502. doi:10.1016/S0140-6736(17)31463-0</w:t>
      </w:r>
    </w:p>
    <w:p>
      <w:pPr>
        <w:spacing w:after="100"/>
        <w:ind w:left="576" w:hanging="576"/>
      </w:pPr>
      <w:r>
        <w:rPr>
          <w:rFonts w:ascii="Times New Roman" w:hAnsi="Times New Roman"/>
          <w:b w:val="0"/>
          <w:i w:val="0"/>
          <w:sz w:val="22"/>
        </w:rPr>
        <w:t>4. Orenstein WA, Seib K. Mounting a good offense against measles. N Engl J Med. 2014;371(18):1661–1663.</w:t>
      </w:r>
    </w:p>
    <w:p>
      <w:pPr>
        <w:spacing w:after="100"/>
        <w:ind w:left="576" w:hanging="576"/>
      </w:pPr>
      <w:r>
        <w:rPr>
          <w:rFonts w:ascii="Times New Roman" w:hAnsi="Times New Roman"/>
          <w:b w:val="0"/>
          <w:i w:val="0"/>
          <w:sz w:val="22"/>
        </w:rPr>
        <w:t>5. WHO Regional Office for South-East Asia. Measles and Rubella Elimination Strategic Plan 2020–2024. New Delhi: WHO SEARO; 2020.</w:t>
      </w:r>
    </w:p>
    <w:p>
      <w:pPr>
        <w:spacing w:after="100"/>
        <w:ind w:left="576" w:hanging="576"/>
      </w:pPr>
      <w:r>
        <w:rPr>
          <w:rFonts w:ascii="Times New Roman" w:hAnsi="Times New Roman"/>
          <w:b w:val="0"/>
          <w:i w:val="0"/>
          <w:sz w:val="22"/>
        </w:rPr>
        <w:t>6. Bangladesh Bureau of Statistics (BBS). Bangladesh Population and Housing Census 2022. Dhaka: BBS; 2023.</w:t>
      </w:r>
    </w:p>
    <w:p>
      <w:pPr>
        <w:spacing w:after="100"/>
        <w:ind w:left="576" w:hanging="576"/>
      </w:pPr>
      <w:r>
        <w:rPr>
          <w:rFonts w:ascii="Times New Roman" w:hAnsi="Times New Roman"/>
          <w:b w:val="0"/>
          <w:i w:val="0"/>
          <w:sz w:val="22"/>
        </w:rPr>
        <w:t>7. Expanded Programme on Immunization (EPI), Bangladesh. EPI Coverage Evaluation Survey Reports. Dhaka: DGHS; 2019.</w:t>
      </w:r>
    </w:p>
    <w:p>
      <w:pPr>
        <w:spacing w:after="100"/>
        <w:ind w:left="576" w:hanging="576"/>
      </w:pPr>
      <w:r>
        <w:rPr>
          <w:rFonts w:ascii="Times New Roman" w:hAnsi="Times New Roman"/>
          <w:b w:val="0"/>
          <w:i w:val="0"/>
          <w:sz w:val="22"/>
        </w:rPr>
        <w:t>8. Luquero FJ, Pham-Orsetti H, Cummings DAT, et al. A long-lasting measles epidemic in Maroua, Cameroon 2008–2009: mass vaccination as response to the epidemic. J Infect Dis. 2011;204(Suppl 1):S243–S251.</w:t>
      </w:r>
    </w:p>
    <w:p>
      <w:pPr>
        <w:spacing w:after="100"/>
        <w:ind w:left="576" w:hanging="576"/>
      </w:pPr>
      <w:r>
        <w:rPr>
          <w:rFonts w:ascii="Times New Roman" w:hAnsi="Times New Roman"/>
          <w:b w:val="0"/>
          <w:i w:val="0"/>
          <w:sz w:val="22"/>
        </w:rPr>
        <w:t>9. Grout L, Minetti A, Hurtado N, et al. Measles in Democratic Republic of Congo: an ongoing crisis. Epidemiol Infect. 2013;141(6):1131–1139.</w:t>
      </w:r>
    </w:p>
    <w:p>
      <w:pPr>
        <w:spacing w:after="100"/>
        <w:ind w:left="576" w:hanging="576"/>
      </w:pPr>
      <w:r>
        <w:rPr>
          <w:rFonts w:ascii="Times New Roman" w:hAnsi="Times New Roman"/>
          <w:b w:val="0"/>
          <w:i w:val="0"/>
          <w:sz w:val="22"/>
        </w:rPr>
        <w:t>10. Perry RT, Halsey NA. The clinical significance of measles: a review. J Infect Dis. 2004;189(Suppl 1):S4–S16.</w:t>
      </w:r>
    </w:p>
    <w:p>
      <w:pPr>
        <w:spacing w:after="100"/>
        <w:ind w:left="576" w:hanging="576"/>
      </w:pPr>
      <w:r>
        <w:rPr>
          <w:rFonts w:ascii="Times New Roman" w:hAnsi="Times New Roman"/>
          <w:b w:val="0"/>
          <w:i w:val="0"/>
          <w:sz w:val="22"/>
        </w:rPr>
        <w:t>11. Dabbagh A, Laws RL, Steulet C, et al. Progress toward regional measles elimination — worldwide, 2000–2017. MMWR Morb Mortal Wkly Rep. 2018;67(47):1323–1329.</w:t>
      </w:r>
    </w:p>
    <w:p>
      <w:pPr>
        <w:spacing w:after="100"/>
        <w:ind w:left="576" w:hanging="576"/>
      </w:pPr>
      <w:r>
        <w:rPr>
          <w:rFonts w:ascii="Times New Roman" w:hAnsi="Times New Roman"/>
          <w:b w:val="0"/>
          <w:i w:val="0"/>
          <w:sz w:val="22"/>
        </w:rPr>
        <w:t>12. Kundu SK, Khanam M, Das MK. Measles outbreak investigation in Bangladesh, 2018–2019: a field epidemiology report. Bangladesh J Infect Dis. 2020;7(1):18–24.</w:t>
      </w:r>
    </w:p>
    <w:p>
      <w:pPr>
        <w:spacing w:after="100"/>
        <w:ind w:left="576" w:hanging="576"/>
      </w:pPr>
      <w:r>
        <w:rPr>
          <w:rFonts w:ascii="Times New Roman" w:hAnsi="Times New Roman"/>
          <w:b w:val="0"/>
          <w:i w:val="0"/>
          <w:sz w:val="22"/>
        </w:rPr>
        <w:t>13. Fine PE, Clarkson JA. Measles in England and Wales — I: an analysis of factors underlying seasonal patterns. Int J Epidemiol. 1982;11(1):5–14.</w:t>
      </w:r>
    </w:p>
    <w:p>
      <w:pPr>
        <w:spacing w:after="100"/>
        <w:ind w:left="576" w:hanging="576"/>
      </w:pPr>
      <w:r>
        <w:rPr>
          <w:rFonts w:ascii="Times New Roman" w:hAnsi="Times New Roman"/>
          <w:b w:val="0"/>
          <w:i w:val="0"/>
          <w:sz w:val="22"/>
        </w:rPr>
        <w:t>14. WHO. Measles vaccines: WHO position paper — April 2017. Wkly Epidemiol Rec. 2017;92(17):205–227.</w:t>
      </w:r>
    </w:p>
    <w:p>
      <w:pPr>
        <w:spacing w:after="100"/>
        <w:ind w:left="576" w:hanging="576"/>
      </w:pPr>
      <w:r>
        <w:rPr>
          <w:rFonts w:ascii="Times New Roman" w:hAnsi="Times New Roman"/>
          <w:b w:val="0"/>
          <w:i w:val="0"/>
          <w:sz w:val="22"/>
        </w:rPr>
        <w:t>15. Gavi, the Vaccine Alliance. Measles supplementary immunization activities: evidence and programmatic guidance. Geneva: Gavi; 2021.</w:t>
      </w:r>
    </w:p>
    <w:p>
      <w:pPr>
        <w:spacing w:after="100"/>
        <w:ind w:left="576" w:hanging="576"/>
      </w:pPr>
      <w:r>
        <w:rPr>
          <w:rFonts w:ascii="Times New Roman" w:hAnsi="Times New Roman"/>
          <w:b w:val="0"/>
          <w:i w:val="0"/>
          <w:sz w:val="22"/>
        </w:rPr>
        <w:t>16. Lessler J, Metcalf CJE. Balancing evidence and uncertainty when considering rubella vaccine introduction. PLoS One. 2013;8(7):e67639.</w:t>
      </w:r>
    </w:p>
    <w:p>
      <w:pPr>
        <w:spacing w:after="100"/>
        <w:ind w:left="576" w:hanging="576"/>
      </w:pPr>
      <w:r>
        <w:rPr>
          <w:rFonts w:ascii="Times New Roman" w:hAnsi="Times New Roman"/>
          <w:b w:val="0"/>
          <w:i w:val="0"/>
          <w:sz w:val="22"/>
        </w:rPr>
        <w:t>17. Bhatt M, Favin M, Ackley J, Barry M. On the measurement of vaccination coverage. Health Policy Plan. 1993;8(4):296–303.</w:t>
      </w:r>
    </w:p>
    <w:p>
      <w:pPr>
        <w:spacing w:after="100"/>
        <w:ind w:left="576" w:hanging="576"/>
      </w:pPr>
      <w:r>
        <w:rPr>
          <w:rFonts w:ascii="Times New Roman" w:hAnsi="Times New Roman"/>
          <w:b w:val="0"/>
          <w:i w:val="0"/>
          <w:sz w:val="22"/>
        </w:rPr>
        <w:t>18. UNICEF Bangladesh. Immunization programme — Bangladesh. Dhaka: UNICEF; 2023. Available from: https://www.unicef.org/bangladesh/immunization</w:t>
      </w:r>
    </w:p>
    <w:p>
      <w:pPr>
        <w:spacing w:after="100"/>
        <w:ind w:left="576" w:hanging="576"/>
      </w:pPr>
      <w:r>
        <w:rPr>
          <w:rFonts w:ascii="Times New Roman" w:hAnsi="Times New Roman"/>
          <w:b w:val="0"/>
          <w:i w:val="0"/>
          <w:sz w:val="22"/>
        </w:rPr>
        <w:t>19. World Health Organization. WHO surveillance standards for measles. Geneva: WHO; 2018.</w:t>
      </w:r>
    </w:p>
    <w:p>
      <w:pPr>
        <w:spacing w:after="100"/>
        <w:ind w:left="576" w:hanging="576"/>
      </w:pPr>
      <w:r>
        <w:rPr>
          <w:rFonts w:ascii="Times New Roman" w:hAnsi="Times New Roman"/>
          <w:b w:val="0"/>
          <w:i w:val="0"/>
          <w:sz w:val="22"/>
        </w:rPr>
        <w:t>20. van den Ent MMVX, Brown DW, Hoekstra EJ, Christie A, Cochi SL. Measles mortality reduction contributes substantially to reduction of all cause mortality among children less than five years of age. J Infect Dis. 2011;204(Suppl 1):S18–S23.</w:t>
      </w:r>
    </w:p>
    <w:p>
      <w:r>
        <w:br w:type="page"/>
      </w:r>
    </w:p>
    <w:p>
      <w:pPr>
        <w:spacing w:before="0" w:after="120"/>
        <w:jc w:val="center"/>
      </w:pPr>
      <w:r>
        <w:rPr>
          <w:rFonts w:ascii="Times New Roman" w:hAnsi="Times New Roman"/>
          <w:b/>
          <w:i w:val="0"/>
          <w:sz w:val="28"/>
        </w:rPr>
        <w:t>Figures</w:t>
      </w:r>
    </w:p>
    <w:p/>
    <w:p>
      <w:pPr>
        <w:jc w:val="center"/>
      </w:pPr>
      <w:r>
        <w:drawing>
          <wp:inline xmlns:a="http://schemas.openxmlformats.org/drawingml/2006/main" xmlns:pic="http://schemas.openxmlformats.org/drawingml/2006/picture">
            <wp:extent cx="5486400" cy="2293205"/>
            <wp:docPr id="1" name="Picture 1"/>
            <wp:cNvGraphicFramePr>
              <a:graphicFrameLocks noChangeAspect="1"/>
            </wp:cNvGraphicFramePr>
            <a:graphic>
              <a:graphicData uri="http://schemas.openxmlformats.org/drawingml/2006/picture">
                <pic:pic>
                  <pic:nvPicPr>
                    <pic:cNvPr id="0" name="fig1_epidemic_curve.png"/>
                    <pic:cNvPicPr/>
                  </pic:nvPicPr>
                  <pic:blipFill>
                    <a:blip r:embed="rId9"/>
                    <a:stretch>
                      <a:fillRect/>
                    </a:stretch>
                  </pic:blipFill>
                  <pic:spPr>
                    <a:xfrm>
                      <a:off x="0" y="0"/>
                      <a:ext cx="5486400" cy="2293205"/>
                    </a:xfrm>
                    <a:prstGeom prst="rect"/>
                  </pic:spPr>
                </pic:pic>
              </a:graphicData>
            </a:graphic>
          </wp:inline>
        </w:drawing>
      </w:r>
    </w:p>
    <w:p>
      <w:pPr>
        <w:spacing w:after="400"/>
        <w:jc w:val="center"/>
      </w:pPr>
      <w:r>
        <w:rPr>
          <w:rFonts w:ascii="Times New Roman" w:hAnsi="Times New Roman"/>
          <w:b w:val="0"/>
          <w:i/>
          <w:sz w:val="20"/>
        </w:rPr>
        <w:t>Figure 1. Epidemic curve of the 2026 measles outbreak in Bangladesh. Daily suspected cases (orange bars) and confirmed cases (blue bars) with seven-day centred rolling averages (solid and dashed lines, respectively). 2 April to 2 June 2026.</w:t>
      </w:r>
    </w:p>
    <w:p/>
    <w:p>
      <w:pPr>
        <w:jc w:val="center"/>
      </w:pPr>
      <w:r>
        <w:drawing>
          <wp:inline xmlns:a="http://schemas.openxmlformats.org/drawingml/2006/main" xmlns:pic="http://schemas.openxmlformats.org/drawingml/2006/picture">
            <wp:extent cx="5486400" cy="2486553"/>
            <wp:docPr id="2" name="Picture 2"/>
            <wp:cNvGraphicFramePr>
              <a:graphicFrameLocks noChangeAspect="1"/>
            </wp:cNvGraphicFramePr>
            <a:graphic>
              <a:graphicData uri="http://schemas.openxmlformats.org/drawingml/2006/picture">
                <pic:pic>
                  <pic:nvPicPr>
                    <pic:cNvPr id="0" name="fig2_cumulative_trajectory.png"/>
                    <pic:cNvPicPr/>
                  </pic:nvPicPr>
                  <pic:blipFill>
                    <a:blip r:embed="rId10"/>
                    <a:stretch>
                      <a:fillRect/>
                    </a:stretch>
                  </pic:blipFill>
                  <pic:spPr>
                    <a:xfrm>
                      <a:off x="0" y="0"/>
                      <a:ext cx="5486400" cy="2486553"/>
                    </a:xfrm>
                    <a:prstGeom prst="rect"/>
                  </pic:spPr>
                </pic:pic>
              </a:graphicData>
            </a:graphic>
          </wp:inline>
        </w:drawing>
      </w:r>
    </w:p>
    <w:p>
      <w:pPr>
        <w:spacing w:after="400"/>
        <w:jc w:val="center"/>
      </w:pPr>
      <w:r>
        <w:rPr>
          <w:rFonts w:ascii="Times New Roman" w:hAnsi="Times New Roman"/>
          <w:b w:val="0"/>
          <w:i/>
          <w:sz w:val="20"/>
        </w:rPr>
        <w:t>Figure 2. Cumulative trajectory of measles cases, hospitalisations, recoveries, and suspected deaths, Bangladesh 2026.</w:t>
      </w:r>
    </w:p>
    <w:p/>
    <w:p>
      <w:pPr>
        <w:jc w:val="center"/>
      </w:pPr>
      <w:r>
        <w:drawing>
          <wp:inline xmlns:a="http://schemas.openxmlformats.org/drawingml/2006/main" xmlns:pic="http://schemas.openxmlformats.org/drawingml/2006/picture">
            <wp:extent cx="5486400" cy="2213256"/>
            <wp:docPr id="3" name="Picture 3"/>
            <wp:cNvGraphicFramePr>
              <a:graphicFrameLocks noChangeAspect="1"/>
            </wp:cNvGraphicFramePr>
            <a:graphic>
              <a:graphicData uri="http://schemas.openxmlformats.org/drawingml/2006/picture">
                <pic:pic>
                  <pic:nvPicPr>
                    <pic:cNvPr id="0" name="fig3_division_burden.png"/>
                    <pic:cNvPicPr/>
                  </pic:nvPicPr>
                  <pic:blipFill>
                    <a:blip r:embed="rId11"/>
                    <a:stretch>
                      <a:fillRect/>
                    </a:stretch>
                  </pic:blipFill>
                  <pic:spPr>
                    <a:xfrm>
                      <a:off x="0" y="0"/>
                      <a:ext cx="5486400" cy="2213256"/>
                    </a:xfrm>
                    <a:prstGeom prst="rect"/>
                  </pic:spPr>
                </pic:pic>
              </a:graphicData>
            </a:graphic>
          </wp:inline>
        </w:drawing>
      </w:r>
    </w:p>
    <w:p>
      <w:pPr>
        <w:spacing w:after="400"/>
        <w:jc w:val="center"/>
      </w:pPr>
      <w:r>
        <w:rPr>
          <w:rFonts w:ascii="Times New Roman" w:hAnsi="Times New Roman"/>
          <w:b w:val="0"/>
          <w:i/>
          <w:sz w:val="20"/>
        </w:rPr>
        <w:t>Figure 3. Division-level measles burden, Bangladesh 2026. Panel A: Confirmed cases (cumulative). Panel B: Incidence rate per 100,000 population (2022 Census denominators).</w:t>
      </w:r>
    </w:p>
    <w:p/>
    <w:p>
      <w:pPr>
        <w:jc w:val="center"/>
      </w:pPr>
      <w:r>
        <w:drawing>
          <wp:inline xmlns:a="http://schemas.openxmlformats.org/drawingml/2006/main" xmlns:pic="http://schemas.openxmlformats.org/drawingml/2006/picture">
            <wp:extent cx="5486400" cy="3631582"/>
            <wp:docPr id="4" name="Picture 4"/>
            <wp:cNvGraphicFramePr>
              <a:graphicFrameLocks noChangeAspect="1"/>
            </wp:cNvGraphicFramePr>
            <a:graphic>
              <a:graphicData uri="http://schemas.openxmlformats.org/drawingml/2006/picture">
                <pic:pic>
                  <pic:nvPicPr>
                    <pic:cNvPr id="0" name="fig4_vaccination_vs_incidence.png"/>
                    <pic:cNvPicPr/>
                  </pic:nvPicPr>
                  <pic:blipFill>
                    <a:blip r:embed="rId12"/>
                    <a:stretch>
                      <a:fillRect/>
                    </a:stretch>
                  </pic:blipFill>
                  <pic:spPr>
                    <a:xfrm>
                      <a:off x="0" y="0"/>
                      <a:ext cx="5486400" cy="3631582"/>
                    </a:xfrm>
                    <a:prstGeom prst="rect"/>
                  </pic:spPr>
                </pic:pic>
              </a:graphicData>
            </a:graphic>
          </wp:inline>
        </w:drawing>
      </w:r>
    </w:p>
    <w:p>
      <w:pPr>
        <w:spacing w:after="400"/>
        <w:jc w:val="center"/>
      </w:pPr>
      <w:r>
        <w:rPr>
          <w:rFonts w:ascii="Times New Roman" w:hAnsi="Times New Roman"/>
          <w:b w:val="0"/>
          <w:i/>
          <w:sz w:val="20"/>
        </w:rPr>
        <w:t>Figure 4. Scatter plot of Measles-Rubella Campaign 2026 coverage (%) versus confirmed measles incidence per 100,000 population by division. Bubble size is proportional to the number of confirmed cases. Pearson r = 0.10, p = 0.82. Line indicates linear regression fit.</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