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sz w:val="24"/>
          <w:szCs w:val="24"/>
        </w:rPr>
        <w:t xml:space="preserve">Dear Editor,</w:t>
      </w:r>
    </w:p>
    <w:p>
      <w:pPr>
        <w:spacing w:after="240"/>
      </w:pPr>
      <w:r>
        <w:rPr>
          <w:sz w:val="24"/>
          <w:szCs w:val="24"/>
        </w:rPr>
        <w:t xml:space="preserve">I am pleased to submit my manuscript, "What a Fair Comparison of Earth Observation Foundation Models Actually Looks Like on One Small, Real, Consequential Flood," for consideration by the International Journal of Disaster Risk Reduction.</w:t>
      </w:r>
    </w:p>
    <w:p>
      <w:pPr>
        <w:spacing w:after="240"/>
      </w:pPr>
      <w:r>
        <w:rPr>
          <w:sz w:val="24"/>
          <w:szCs w:val="24"/>
        </w:rPr>
        <w:t xml:space="preserve">The manuscript reports a real-data case study comparing two Earth observation foundation models (Prithvi-EO-2.0, Clay v1.5) against a from-scratch U-Net on a real Dhaka-area land-cover task and a real 2026 Bangladesh monsoon flood at Dirai, Sunamganj – the same event and region your journal’s own published work (the tri-dimensional GIS-AHP flood risk framework for northeastern Bangladesh) has already identified as a high-priority disaster-risk zone. Rather than a new benchmark or model, the paper’s contribution is a documented, honestly-reported account of what a single practitioner actually gets when applying these models at the scale a real local deployment operates at – including a single-run foundation-model advantage that did not survive a seed-variance check, and a measured gap between these models’ own published benchmark numbers and their performance on this one real event. On the real flood, neither foundation model outperformed a classical Otsu threshold.</w:t>
      </w:r>
    </w:p>
    <w:p>
      <w:pPr>
        <w:spacing w:after="240"/>
      </w:pPr>
      <w:r>
        <w:rPr>
          <w:sz w:val="24"/>
          <w:szCs w:val="24"/>
        </w:rPr>
        <w:t xml:space="preserve">I believe this work is a good fit for the journal’s scope at the intersection of geospatial methods and disaster risk reduction, and that its explicit focus on small-sample, single-event, locally consequential evaluation – rather than large-scale benchmark performance – offers a useful, complementary perspective for practitioners making real deployment decisions.</w:t>
      </w:r>
    </w:p>
    <w:p>
      <w:pPr>
        <w:spacing w:after="240"/>
      </w:pPr>
      <w:r>
        <w:rPr>
          <w:sz w:val="24"/>
          <w:szCs w:val="24"/>
        </w:rPr>
        <w:t xml:space="preserve">This manuscript is original, has not been published previously, and is not under consideration elsewhere. All code, notebooks, and real experiment run logs are publicly available to support full reproducibility; the repository link is withheld from the blinded manuscript for double-blind review and can be provided to the editor directly upon request.</w:t>
      </w:r>
    </w:p>
    <w:p>
      <w:pPr>
        <w:spacing w:after="240"/>
      </w:pPr>
      <w:r>
        <w:rPr>
          <w:sz w:val="24"/>
          <w:szCs w:val="24"/>
        </w:rPr>
        <w:t xml:space="preserve">Thank you for your consideration.</w:t>
      </w:r>
    </w:p>
    <w:p>
      <w:pPr>
        <w:spacing w:after="240"/>
      </w:pPr>
      <w:r>
        <w:rPr>
          <w:sz w:val="24"/>
          <w:szCs w:val="24"/>
        </w:rPr>
        <w:t xml:space="preserve">Sincerely,</w:t>
      </w:r>
    </w:p>
    <w:p>
      <w:pPr>
        <w:spacing w:after="240"/>
      </w:pPr>
      <w:r>
        <w:rPr>
          <w:sz w:val="24"/>
          <w:szCs w:val="24"/>
        </w:rPr>
        <w:t xml:space="preserve">Khalilur Rahman Ridoy Khan</w:t>
      </w:r>
    </w:p>
    <w:p>
      <w:pPr>
        <w:spacing w:after="240"/>
      </w:pPr>
      <w:r>
        <w:rPr>
          <w:sz w:val="24"/>
          <w:szCs w:val="24"/>
        </w:rPr>
        <w:t xml:space="preserve">Independent Researcher, Dhaka, Bangladesh</w:t>
      </w:r>
    </w:p>
    <w:p>
      <w:pPr>
        <w:spacing w:after="240"/>
      </w:pPr>
      <w:r>
        <w:rPr>
          <w:sz w:val="24"/>
          <w:szCs w:val="24"/>
        </w:rPr>
        <w:t xml:space="preserve">khalilurrahmanridoykhan@gmail.com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2026-10-03T07:27:34.816Z</dcterms:created>
  <dcterms:modified xsi:type="dcterms:W3CDTF">2026-10-03T07:27:34.824Z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