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rPr>
          <w:b/>
          <w:bCs/>
          <w:sz w:val="32"/>
          <w:szCs w:val="32"/>
        </w:rPr>
        <w:t xml:space="preserve">What a Fair Comparison of Earth Observation Foundation Models Actually Looks Like on One Small, Real, Consequential Flood</w:t>
      </w:r>
    </w:p>
    <w:p>
      <w:pPr>
        <w:pStyle w:val="Heading1"/>
      </w:pPr>
      <w:r>
        <w:t xml:space="preserve">Abstract</w:t>
      </w:r>
    </w:p>
    <w:p>
      <w:pPr>
        <w:spacing w:after="160"/>
      </w:pPr>
      <w:r>
        <w:t xml:space="preserve">Earth observation (EO) foundation models are proposed as drop-in upgrades over task-specific CNNs for disaster response and land monitoring, but most evidence comes from large, curated, multi-event benchmarks. We ask a narrower, operational question: at the scale a single practitioner actually has – one small AOI, modest resources – does a foundation model reliably beat a from-scratch U-Net? We fine-tune Prithvi-EO-2.0 (300M, full fine-tune) and Clay v1.5 (frozen encoder, small head) against a from-scratch U-Net on a real Dhaka-area land-cover task and a real 2026 Bangladesh monsoon flood (Dirai, Sunamganj), using each model’s own documented recipe. Prithvi’s advantage on land cover is real and survives a 3-seed check (water IoU +0.121 to +0.148, all seeds agreeing). Clay’s apparent advantage over the same U-Net, from an earlier single run, does not survive the same check (sign flips on both harder classes) – a concrete illustration that single-run foundation-model comparisons are unreliable even with a correct recipe. On the real flood event, neither foundation model beats a decades-old Otsu threshold, and all three models fail to generalize to a third-party AOI 140km away, collapsing to the majority class. We report exact sample sizes (6–16 held-out tiles), claim no statistical power we lack, and note that Prithvi’s own reported Sen1Floods11 numbers (IoU 0.70–0.78, from an unpublished benchmarking project, via optical input) look nothing like what we measured on this one real SAR event (IoU 0.04–0.13) – a measured gap between benchmark and deployment-scale evidence. Code, notebooks, and run logs are public.</w:t>
      </w:r>
    </w:p>
    <w:p>
      <w:pPr>
        <w:spacing w:after="300"/>
      </w:pPr>
      <w:r>
        <w:rPr>
          <w:b/>
          <w:bCs/>
        </w:rPr>
        <w:t xml:space="preserve">Keywords: </w:t>
      </w:r>
      <w:r>
        <w:t xml:space="preserve">Earth observation foundation models; flood mapping; generalization; reproducibility; Sentinel-1; Bangladesh</w:t>
      </w:r>
    </w:p>
    <w:p>
      <w:pPr>
        <w:pStyle w:val="Heading1"/>
      </w:pPr>
      <w:r>
        <w:t xml:space="preserve">1. Introduction</w:t>
      </w:r>
    </w:p>
    <w:p>
      <w:pPr>
        <w:spacing w:after="160"/>
      </w:pPr>
      <w:r>
        <w:t xml:space="preserve">Geospatial foundation models (Prithvi-EO-2.0, Clay, and others) are pretrained on large, diverse Earth observation corpora and then fine-tuned for a downstream task – the promise being that this pretraining transfers useful structure (edges, textures, spectral relationships) that a from-scratch model has to relearn from whatever small amount of labeled data is actually available locally. Large benchmarks like PANGAEA [Marsocci et al. 2024] and GEO-Bench-2 [2025] exist to measure this transfer across many datasets, sensors, and tasks at once, and both already report the central caveat this paper investigates empirically at a smaller scale: </w:t>
      </w:r>
      <w:r>
        <w:rPr>
          <w:b/>
          <w:bCs/>
        </w:rPr>
        <w:t xml:space="preserve">geospatial foundation models do not universally outperform task-specific supervised models</w:t>
      </w:r>
      <w:r>
        <w:t xml:space="preserve"> (PANGAEA’s own finding), and </w:t>
      </w:r>
      <w:r>
        <w:rPr>
          <w:b/>
          <w:bCs/>
        </w:rPr>
        <w:t xml:space="preserve">no single model dominates across all tasks</w:t>
      </w:r>
      <w:r>
        <w:t xml:space="preserve"> (GEO-Bench-2’s own finding).</w:t>
      </w:r>
    </w:p>
    <w:p>
      <w:pPr>
        <w:spacing w:after="160"/>
      </w:pPr>
      <w:r>
        <w:t xml:space="preserve">What those benchmarks do not tell a practitioner is what happens on the actual, much smaller scale most real deployments operate at: one AOI, one event, whatever labeled pixels a small team can actually produce, a single GPU session, and a decision (where to send a flood response team, which facility is at risk) that has to be made from whatever the model says, not from an average over dozens of curated datasets. This paper is </w:t>
      </w:r>
      <w:r>
        <w:rPr>
          <w:b/>
          <w:bCs/>
        </w:rPr>
        <w:t xml:space="preserve">not</w:t>
      </w:r>
      <w:r>
        <w:t xml:space="preserve"> a new benchmark and does not claim to out-measure PANGAEA, GEO-Bench-2, or REOBench [Li et al. 2025] at their own scale. Its contribution is narrower and, we think, still useful: a documented, honestly-reported, real-data case study of what a careful practitioner actually gets when they follow each model’s own published fine-tuning recipe on one small, real, locally consequential problem – including the parts that did not work, the single-run claims that turned out not to survive a seed check, and the gap between this event-scale evidence and the same models’ own published benchmark numbers.</w:t>
      </w:r>
    </w:p>
    <w:p>
      <w:pPr>
        <w:spacing w:after="160"/>
      </w:pPr>
      <w:r>
        <w:t xml:space="preserve">Concretely, we ask four questions on a real Dhaka-area land-cover task and a real 2026 Bangladesh monsoon flood (Dirai, Sunamganj, part of the real event UN agencies alerted on in July 2026):</w:t>
      </w:r>
    </w:p>
    <w:p>
      <w:pPr>
        <w:spacing w:after="160"/>
      </w:pPr>
      <w:r>
        <w:t xml:space="preserve">1. On a real local AOI, does an EO foundation model (Prithvi-EO-2.0, full fine-tune; Clay v1.5, frozen encoder) beat a from-scratch U-Net, using each model’s own documented recipe rather than one recipe forced onto both?</w:t>
      </w:r>
    </w:p>
    <w:p>
      <w:pPr>
        <w:spacing w:after="160"/>
      </w:pPr>
      <w:r>
        <w:t xml:space="preserve">2. Does whichever model wins generalize to a different AOI it was never trained near, or does strong held-out performance on the training tile mask total failure elsewhere?</w:t>
      </w:r>
    </w:p>
    <w:p>
      <w:pPr>
        <w:spacing w:after="160"/>
      </w:pPr>
      <w:r>
        <w:t xml:space="preserve">3. On a real disaster event, does either foundation model beat the classical threshold-based method a practitioner would reach for first?</w:t>
      </w:r>
    </w:p>
    <w:p>
      <w:pPr>
        <w:spacing w:after="160"/>
      </w:pPr>
      <w:r>
        <w:t xml:space="preserve">4. Do apparent single-run advantages survive being checked against real seed-to-seed variance – and if a claim does not survive that check, what should a practitioner have done differently before believing it?</w:t>
      </w:r>
    </w:p>
    <w:p>
      <w:pPr>
        <w:pStyle w:val="Heading1"/>
      </w:pPr>
      <w:r>
        <w:t xml:space="preserve">2. Related Work</w:t>
      </w:r>
    </w:p>
    <w:p>
      <w:pPr>
        <w:spacing w:after="160"/>
      </w:pPr>
      <w:r>
        <w:rPr>
          <w:b/>
          <w:bCs/>
        </w:rPr>
        <w:t xml:space="preserve">Geospatial foundation model benchmarks.</w:t>
      </w:r>
      <w:r>
        <w:t xml:space="preserve"> PANGAEA [Marsocci et al., arXiv:2412.04204] is a global, multi-dataset, multi-sensor benchmark built specifically to correct earlier benchmarks’ geographic bias toward North America and Europe; across its many datasets it finds GeoFMs do not universally beat task-specific U-Nets. GEO-Bench-2 [arXiv:2511.15658] extends this with 19 permissively-licensed datasets across classification, segmentation, regression, and detection, organized into “capability” groups, and similarly finds no single model dominates across all tasks. REOBench [Li et al., arXiv:2505.16793] asks a different question – not which model wins on clean data, but how much performance degrades under 12 realistic corruption types – and finds degradation varies widely (under 1% to over 25% mIoU/mAP) by task and architecture. All three are large, curated, multi-dataset efforts; none reports what happens at the single-AOI, single-event scale this paper studies, and none reports seed-to-seed variance for a single local deployment decision.</w:t>
      </w:r>
    </w:p>
    <w:p>
      <w:pPr>
        <w:spacing w:after="160"/>
      </w:pPr>
      <w:r>
        <w:rPr>
          <w:b/>
          <w:bCs/>
        </w:rPr>
        <w:t xml:space="preserve">Sen1Floods11 and Prithvi/Clay flood fine-tuning.</w:t>
      </w:r>
      <w:r>
        <w:t xml:space="preserve"> The Sen1Floods11 dataset [Bonafilia et al. 2020] is the standard benchmark for Sentinel-1/2 flood segmentation (446 hand-labeled 512x512 chips, 11 flood events, 14 biomes). IBM/NASA publish two Prithvi checkpoints fine-tuned on it (</w:t>
      </w:r>
      <w:r>
        <w:rPr>
          <w:rFonts w:ascii="Courier New" w:cs="Courier New" w:eastAsia="Courier New" w:hAnsi="Courier New"/>
        </w:rPr>
        <w:t xml:space="preserve">Prithvi-EO-2.0-300M-TL-Sen1Floods11</w:t>
      </w:r>
      <w:r>
        <w:t xml:space="preserve">, </w:t>
      </w:r>
      <w:r>
        <w:rPr>
          <w:rFonts w:ascii="Courier New" w:cs="Courier New" w:eastAsia="Courier New" w:hAnsi="Courier New"/>
        </w:rPr>
        <w:t xml:space="preserve">Prithvi-EO-1.0-100M-sen1floods11</w:t>
      </w:r>
      <w:r>
        <w:t xml:space="preserve">) – both, we confirmed directly from their model cards before relying on this, fine-tuned on </w:t>
      </w:r>
      <w:r>
        <w:rPr>
          <w:b/>
          <w:bCs/>
        </w:rPr>
        <w:t xml:space="preserve">Sentinel-2 optical</w:t>
      </w:r>
      <w:r>
        <w:t xml:space="preserve"> input (Blue/Green/Red/Narrow NIR/SWIR/SWIR2), not SAR, despite Sen1Floods11 itself including Sentinel-1 imagery. The </w:t>
      </w:r>
      <w:r>
        <w:rPr>
          <w:rFonts w:ascii="Courier New" w:cs="Courier New" w:eastAsia="Courier New" w:hAnsi="Courier New"/>
        </w:rPr>
        <w:t xml:space="preserve">eo-foundation-flood</w:t>
      </w:r>
      <w:r>
        <w:t xml:space="preserve"> project (github.com/mertsemih/eo-foundation-flood) is the most directly comparable prior work to our own Phase P2/P3b – read directly from its own README before citing, not from a secondary summary, since its numbers matter to our own argument. It is an </w:t>
      </w:r>
      <w:r>
        <w:rPr>
          <w:b/>
          <w:bCs/>
        </w:rPr>
        <w:t xml:space="preserve">in-progress, unpublished research project</w:t>
      </w:r>
      <w:r>
        <w:t xml:space="preserve"> (explicit status checklist, preprint “pending weeks 10–12”), fine-tuning Prithvi-EO-2.0 on </w:t>
      </w:r>
      <w:r>
        <w:rPr>
          <w:b/>
          <w:bCs/>
        </w:rPr>
        <w:t xml:space="preserve">Sentinel-2 optical</w:t>
      </w:r>
      <w:r>
        <w:t xml:space="preserve"> input from Sen1Floods11 (Clay experiments are planned but not yet reported) under frozen/LoRA/full-fine-tune regimes, studying the low-label regime and out-of-distribution generalization (a held-out Bolivia split). At 100% labels/seed 0 it reports water IoU of 0.699 (frozen), 0.778 (LoRA), 0.779 (full fine-tune) for Prithvi – but its own </w:t>
      </w:r>
      <w:r>
        <w:rPr>
          <w:b/>
          <w:bCs/>
        </w:rPr>
        <w:t xml:space="preserve">from-scratch and ImageNet-pretrained U-Net baselines score higher still (0.823 / 0.812), and stay at or above 0.79 down to 5% of labels, beating every Prithvi variant at every label fraction tested.</w:t>
      </w:r>
      <w:r>
        <w:t xml:space="preserve"> This is an independent, striking confirmation of PANGAEA/GEO-Bench-2’s own message from a project specifically built to test it on flood segmentation. We return to this directly in Section 5: our own real-event SAR numbers (0.040–0.130) sit far below even Prithvi’s own (optical, curated-benchmark) numbers in that project, let alone its U-Net baseline’s – a real, large gap, with the important caveat that the input modality also differs (their benchmark uses clean, pre-selected optical chips; our real event forced SAR-only input because the actual flood window was too cloud-covered for optical at all – itself part of the gap, not a confound to explain away).</w:t>
      </w:r>
    </w:p>
    <w:p>
      <w:pPr>
        <w:spacing w:after="160"/>
      </w:pPr>
      <w:r>
        <w:rPr>
          <w:b/>
          <w:bCs/>
        </w:rPr>
        <w:t xml:space="preserve">Flood monitoring and nowcasting for South Asia/Bangladesh.</w:t>
      </w:r>
      <w:r>
        <w:t xml:space="preserve"> Operational flood nowcasting work in this region includes a multi-sensor ensemble framework piloted for continuous flood extent monitoring across South Asia during the 2025 flood season [arXiv:2605.10950], and several Bangladesh-specific deep-learning forecasting studies (GRU/LSTM-based, reporting high accuracy on historical water-level/weather time series rather than real-time SAR/optical segmentation). None of this prior work, to our knowledge, evaluates an EO foundation model’s segmentation output against a classical threshold method on one specific, named, already-occurred flood event with real downstream facility/population numbers attached, which is what Phase P2 of this work does.</w:t>
      </w:r>
    </w:p>
    <w:p>
      <w:pPr>
        <w:spacing w:after="160"/>
      </w:pPr>
      <w:r>
        <w:rPr>
          <w:b/>
          <w:bCs/>
        </w:rPr>
        <w:t xml:space="preserve">GIS/AHP and ML flood-risk mapping for this specific region.</w:t>
      </w:r>
      <w:r>
        <w:t xml:space="preserve"> A tri-dimensional GIS-AHP flood risk prioritization framework for northeastern Bangladesh (DOI: 10.2166/wcc.2026.264), integrating 19 geospatial indicators across susceptibility, exposure, and vulnerability, identifies Sunamganj and Sylhet districts as the highest-priority zones in the region (over 72% and 42% of land respectively classified high-to-very-high risk) – directly corroborating, from an independent multi-criteria method, that this paper’s real case-study AOI (Dirai, Sunamganj) and its real generalization-test AOI (Sylhet, Phase P1) are both genuinely high-stakes locations, not arbitrary choices. </w:t>
      </w:r>
      <w:r>
        <w:rPr>
          <w:rFonts w:ascii="Courier New" w:cs="Courier New" w:eastAsia="Courier New" w:hAnsi="Courier New"/>
        </w:rPr>
        <w:t xml:space="preserve">HaorFloodAlert</w:t>
      </w:r>
      <w:r>
        <w:t xml:space="preserve"> [arXiv:2605.20167] is a 72-hour ML early-warning system specifically for Bangladesh’s haor wetlands (the same wetland system Sunamganj sits in), a complementary, forecasting-focused counterpart to this paper’s segmentation-focused case study. Other recent Bangladesh flood-susceptibility work (Random Forest/MaxEnt, ANN, GIS-AHP) addresses longer-horizon risk mapping rather than real-time event segmentation and is not in direct competition with this paper’s narrower question.</w:t>
      </w:r>
    </w:p>
    <w:p>
      <w:pPr>
        <w:spacing w:after="160"/>
      </w:pPr>
      <w:r>
        <w:rPr>
          <w:b/>
          <w:bCs/>
        </w:rPr>
        <w:t xml:space="preserve">What is and is not new here.</w:t>
      </w:r>
      <w:r>
        <w:t xml:space="preserve"> Nothing in this paper is a new model, a new general benchmark, or a claim to out-measure PANGAEA/GEO-Bench-2/REOBench at their own scale. What is real and, we believe, underreported elsewhere: (a) a documented case where a single-run foundation-model advantage was reported, then checked against seed variance, and found not to hold – most comparisons we are aware of report one run; (b) a direct, measured gap between the same model families’ own curated-benchmark numbers and their real-event performance on one small, real, locally consequential AOI; (c) an explicit test of whether strong held-out performance on a training tile implies anything about a nearby but untrained-on region (it does not, for any of the three models here); and (d) an honest record of which scope assumptions in our own original plan turned out to be wrong when checked against real APIs and real cloud cover, and what we changed as a result, rather than a plan presented as if it had been correct from the start.</w:t>
      </w:r>
    </w:p>
    <w:p>
      <w:pPr>
        <w:pStyle w:val="Heading1"/>
      </w:pPr>
      <w:r>
        <w:t xml:space="preserve">3. Methods</w:t>
      </w:r>
    </w:p>
    <w:p>
      <w:pPr>
        <w:pStyle w:val="Heading2"/>
      </w:pPr>
      <w:r>
        <w:t xml:space="preserve">3.1 Tasks and data</w:t>
      </w:r>
    </w:p>
    <w:p>
      <w:pPr>
        <w:spacing w:after="160"/>
      </w:pPr>
      <w:r>
        <w:rPr>
          <w:b/>
          <w:bCs/>
        </w:rPr>
        <w:t xml:space="preserve">Land-cover task.</w:t>
      </w:r>
      <w:r>
        <w:t xml:space="preserve"> A 3-district Dhaka-area AOI (90.30–90.55°E, 23.75–23.95°N), real Sentinel-2 L2A composite (6 bands: Blue, Green, Red, NIR_broad, SWIR1, SWIR2; Jan–Feb 2026, cloud-masked), real ESA WorldCover 2021 labels reclassified to 3 classes (other/water/built_up). Tiled to 256x256; a spatial-block (eastern 30%) split gives 64 train / 16 held-out tiles – the held-out block is a contiguous, never-trained-on region of the same scene, not randomly scattered pixels.</w:t>
      </w:r>
    </w:p>
    <w:p>
      <w:pPr>
        <w:spacing w:after="160"/>
      </w:pPr>
      <w:r>
        <w:rPr>
          <w:b/>
          <w:bCs/>
        </w:rPr>
        <w:t xml:space="preserve">Flood/SAR task.</w:t>
      </w:r>
      <w:r>
        <w:t xml:space="preserve"> A real 2026 Bangladesh monsoon flood at Dirai, Sunamganj (91.15–91.50°E, 24.50–24.80°N; 402mm/24hr record rainfall, 10 districts, 1.11M+ people affected per UN alert), real Sentinel-1 RTC VV/VH before (2026-06-19) and during (2026-07-13) the event, real ESA WorldCover water labels for the CNN tasks. Only 36 tiles total in this AOI (30 train, 6 held-out) – stated here plainly, not discovered partway through a results table.</w:t>
      </w:r>
    </w:p>
    <w:p>
      <w:pPr>
        <w:spacing w:after="160"/>
      </w:pPr>
      <w:r>
        <w:rPr>
          <w:b/>
          <w:bCs/>
        </w:rPr>
        <w:t xml:space="preserve">Generalization test.</w:t>
      </w:r>
      <w:r>
        <w:t xml:space="preserve"> A real, different AOI around Sylhet city (91.80–92.05°E, 24.85–25.05°N), ~140km from the land-cover AOI, never used in any training.</w:t>
      </w:r>
    </w:p>
    <w:p>
      <w:pPr>
        <w:pStyle w:val="Heading2"/>
      </w:pPr>
      <w:r>
        <w:t xml:space="preserve">3.2 Models and recipes</w:t>
      </w:r>
    </w:p>
    <w:p>
      <w:pPr>
        <w:spacing w:after="160"/>
      </w:pPr>
      <w:r>
        <w:t xml:space="preserve">Each model is fine-tuned per its own documented recipe, not a single recipe forced onto all three:</w:t>
      </w:r>
    </w:p>
    <w:p>
      <w:pPr>
        <w:spacing w:after="160"/>
      </w:pPr>
      <w:r>
        <w:t xml:space="preserve">• </w:t>
      </w:r>
      <w:r>
        <w:rPr>
          <w:b/>
          <w:bCs/>
        </w:rPr>
        <w:t xml:space="preserve">Prithvi-EO-2.0-300M (TL)</w:t>
      </w:r>
      <w:r>
        <w:t xml:space="preserve">, via TerraTorch, full fine-tune: </w:t>
      </w:r>
      <w:r>
        <w:rPr>
          <w:rFonts w:ascii="Courier New" w:cs="Courier New" w:eastAsia="Courier New" w:hAnsi="Courier New"/>
        </w:rPr>
        <w:t xml:space="preserve">EncoderDecoderFactory</w:t>
      </w:r>
      <w:r>
        <w:t xml:space="preserve">, </w:t>
      </w:r>
      <w:r>
        <w:rPr>
          <w:rFonts w:ascii="Courier New" w:cs="Courier New" w:eastAsia="Courier New" w:hAnsi="Courier New"/>
        </w:rPr>
        <w:t xml:space="preserve">SelectIndices</w:t>
      </w:r>
      <w:r>
        <w:t xml:space="preserve">[5,11,17,23] → </w:t>
      </w:r>
      <w:r>
        <w:rPr>
          <w:rFonts w:ascii="Courier New" w:cs="Courier New" w:eastAsia="Courier New" w:hAnsi="Courier New"/>
        </w:rPr>
        <w:t xml:space="preserve">ReshapeTokensToImage</w:t>
      </w:r>
      <w:r>
        <w:t xml:space="preserve"> → </w:t>
      </w:r>
      <w:r>
        <w:rPr>
          <w:rFonts w:ascii="Courier New" w:cs="Courier New" w:eastAsia="Courier New" w:hAnsi="Courier New"/>
        </w:rPr>
        <w:t xml:space="preserve">LearnedInterpolateToPyramidal</w:t>
      </w:r>
      <w:r>
        <w:t xml:space="preserve"> necks, </w:t>
      </w:r>
      <w:r>
        <w:rPr>
          <w:rFonts w:ascii="Courier New" w:cs="Courier New" w:eastAsia="Courier New" w:hAnsi="Courier New"/>
        </w:rPr>
        <w:t xml:space="preserve">UNetDecoder</w:t>
      </w:r>
      <w:r>
        <w:t xml:space="preserve">, Dice loss, AdamW (lr=1e-4, wd=0.1), </w:t>
      </w:r>
      <w:r>
        <w:rPr>
          <w:rFonts w:ascii="Courier New" w:cs="Courier New" w:eastAsia="Courier New" w:hAnsi="Courier New"/>
        </w:rPr>
        <w:t xml:space="preserve">ReduceLROnPlateau</w:t>
      </w:r>
      <w:r>
        <w:t xml:space="preserve">, 100-epoch budget, </w:t>
      </w:r>
      <w:r>
        <w:rPr>
          <w:rFonts w:ascii="Courier New" w:cs="Courier New" w:eastAsia="Courier New" w:hAnsi="Courier New"/>
        </w:rPr>
        <w:t xml:space="preserve">EarlyStopping(patience=15)</w:t>
      </w:r>
      <w:r>
        <w:t xml:space="preserve">. Recipe verified against the maintainer’s own TerraTorch-Examples Sen1Floods11 config before any code was written against it, correcting an earlier unverified assumption (LR warmup + cosine decay) found wrong before it was used.</w:t>
      </w:r>
    </w:p>
    <w:p>
      <w:pPr>
        <w:spacing w:after="160"/>
      </w:pPr>
      <w:r>
        <w:t xml:space="preserve">• </w:t>
      </w:r>
      <w:r>
        <w:rPr>
          <w:b/>
          <w:bCs/>
        </w:rPr>
        <w:t xml:space="preserve">Clay v1.5</w:t>
      </w:r>
      <w:r>
        <w:t xml:space="preserve">, frozen encoder + trainable conv/pixel-shuffle segmentation head (</w:t>
      </w:r>
      <w:r>
        <w:rPr>
          <w:rFonts w:ascii="Courier New" w:cs="Courier New" w:eastAsia="Courier New" w:hAnsi="Courier New"/>
        </w:rPr>
        <w:t xml:space="preserve">claymodel.finetune.segment.factory.Segmentor</w:t>
      </w:r>
      <w:r>
        <w:t xml:space="preserve">): FocalLoss, AdamW on head parameters only (lr=1e-5, wd=0.05, betas=(0.9,0.95)), </w:t>
      </w:r>
      <w:r>
        <w:rPr>
          <w:rFonts w:ascii="Courier New" w:cs="Courier New" w:eastAsia="Courier New" w:hAnsi="Courier New"/>
        </w:rPr>
        <w:t xml:space="preserve">CosineAnnealingWarmRestarts</w:t>
      </w:r>
      <w:r>
        <w:t xml:space="preserve">, same 100-epoch budget and early stopping. Per-sensor normalization from Clay’s own published </w:t>
      </w:r>
      <w:r>
        <w:rPr>
          <w:rFonts w:ascii="Courier New" w:cs="Courier New" w:eastAsia="Courier New" w:hAnsi="Courier New"/>
        </w:rPr>
        <w:t xml:space="preserve">metadata.yaml</w:t>
      </w:r>
      <w:r>
        <w:t xml:space="preserve"> (sentinel-2-l2a for land cover; sentinel-1-rtc, already in dB, for the flood task).</w:t>
      </w:r>
    </w:p>
    <w:p>
      <w:pPr>
        <w:spacing w:after="160"/>
      </w:pPr>
      <w:r>
        <w:t xml:space="preserve">• </w:t>
      </w:r>
      <w:r>
        <w:rPr>
          <w:b/>
          <w:bCs/>
        </w:rPr>
        <w:t xml:space="preserve">U-Net</w:t>
      </w:r>
      <w:r>
        <w:t xml:space="preserve"> (from scratch, no ImageNet transfer): </w:t>
      </w:r>
      <w:r>
        <w:rPr>
          <w:rFonts w:ascii="Courier New" w:cs="Courier New" w:eastAsia="Courier New" w:hAnsi="Courier New"/>
        </w:rPr>
        <w:t xml:space="preserve">smp.Unet</w:t>
      </w:r>
      <w:r>
        <w:t xml:space="preserve">, ResNet34 encoder (land cover) or ResNet18 (SAR, matching the main project’s own earlier H5 architecture), Dice(+BCE for the binary SAR task), AdamW/Adam, same epoch budget and early stopping.</w:t>
      </w:r>
    </w:p>
    <w:p>
      <w:pPr>
        <w:spacing w:after="160"/>
      </w:pPr>
      <w:r>
        <w:t xml:space="preserve">A fourth candidate – Prithvi fine-tuned on Sen1Floods11 for the flood task, as originally planned – was dropped after verifying (not assuming) that both public Prithvi+Sen1Floods11 checkpoints are optical-only, and that every available Sentinel-2 scene for the real flood window has 70–99.8% cloud cover. Clay (genuinely SAR-native per its own published band metadata) took that slot instead.</w:t>
      </w:r>
    </w:p>
    <w:p>
      <w:pPr>
        <w:pStyle w:val="Heading2"/>
      </w:pPr>
      <w:r>
        <w:t xml:space="preserve">3.3 Statistical treatment</w:t>
      </w:r>
    </w:p>
    <w:p>
      <w:pPr>
        <w:spacing w:after="160"/>
      </w:pPr>
      <w:r>
        <w:t xml:space="preserve">Most results below are single runs, reported as such. For the land-cover task’s full (100%) label budget – the paper’s central comparison – we additionally ran 3 explicitly-seeded repeats (</w:t>
      </w:r>
      <w:r>
        <w:rPr>
          <w:rFonts w:ascii="Courier New" w:cs="Courier New" w:eastAsia="Courier New" w:hAnsi="Courier New"/>
        </w:rPr>
        <w:t xml:space="preserve">pl.seed_everything(0|1|2)</w:t>
      </w:r>
      <w:r>
        <w:t xml:space="preserve">) per model and report mean ± std and the per-seed paired difference between models. We did not attempt a formal significance test: n=3 supports a real mean/variance estimate but not a trustworthy p-value, and we report unanimity (or lack of it) in the sign of the paired difference across all three seeds as the practical signal, not a p-value we cannot honestly support.</w:t>
      </w:r>
    </w:p>
    <w:p>
      <w:pPr>
        <w:pStyle w:val="Heading1"/>
      </w:pPr>
      <w:r>
        <w:t xml:space="preserve">4. Results</w:t>
      </w:r>
    </w:p>
    <w:p>
      <w:pPr>
        <w:pStyle w:val="Heading2"/>
      </w:pPr>
      <w:r>
        <w:t xml:space="preserve">4.1 Land cover: a fair three-way comparison (Phase P0/P0b)</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D9E2F3" w:val="clear"/>
          </w:tcPr>
          <w:p>
            <w:r>
              <w:rPr>
                <w:b/>
                <w:bCs/>
              </w:rPr>
              <w:t xml:space="preserve">Model</w:t>
            </w:r>
          </w:p>
        </w:tc>
        <w:tc>
          <w:tcPr>
            <w:tcW w:type="dxa" w:w="2250"/>
            <w:shd w:fill="D9E2F3" w:val="clear"/>
          </w:tcPr>
          <w:p>
            <w:r>
              <w:rPr>
                <w:b/>
                <w:bCs/>
              </w:rPr>
              <w:t xml:space="preserve">IoU other</w:t>
            </w:r>
          </w:p>
        </w:tc>
        <w:tc>
          <w:tcPr>
            <w:tcW w:type="dxa" w:w="2250"/>
            <w:shd w:fill="D9E2F3" w:val="clear"/>
          </w:tcPr>
          <w:p>
            <w:r>
              <w:rPr>
                <w:b/>
                <w:bCs/>
              </w:rPr>
              <w:t xml:space="preserve">IoU water</w:t>
            </w:r>
          </w:p>
        </w:tc>
        <w:tc>
          <w:tcPr>
            <w:tcW w:type="dxa" w:w="2250"/>
            <w:shd w:fill="D9E2F3" w:val="clear"/>
          </w:tcPr>
          <w:p>
            <w:r>
              <w:rPr>
                <w:b/>
                <w:bCs/>
              </w:rPr>
              <w:t xml:space="preserve">IoU built_up</w:t>
            </w:r>
          </w:p>
        </w:tc>
      </w:tr>
      <w:tr>
        <w:tc>
          <w:tcPr>
            <w:tcW w:type="dxa" w:w="2250"/>
          </w:tcPr>
          <w:p>
            <w:r>
              <w:t xml:space="preserve">Prithvi-EO-2.0 (full fine-tune)</w:t>
            </w:r>
          </w:p>
        </w:tc>
        <w:tc>
          <w:tcPr>
            <w:tcW w:type="dxa" w:w="2250"/>
          </w:tcPr>
          <w:p>
            <w:r>
              <w:t xml:space="preserve">0.934</w:t>
            </w:r>
          </w:p>
        </w:tc>
        <w:tc>
          <w:tcPr>
            <w:tcW w:type="dxa" w:w="2250"/>
          </w:tcPr>
          <w:p>
            <w:r>
              <w:t xml:space="preserve">0.442</w:t>
            </w:r>
          </w:p>
        </w:tc>
        <w:tc>
          <w:tcPr>
            <w:tcW w:type="dxa" w:w="2250"/>
          </w:tcPr>
          <w:p>
            <w:r>
              <w:t xml:space="preserve">0.284</w:t>
            </w:r>
          </w:p>
        </w:tc>
      </w:tr>
      <w:tr>
        <w:tc>
          <w:tcPr>
            <w:tcW w:type="dxa" w:w="2250"/>
          </w:tcPr>
          <w:p>
            <w:r>
              <w:t xml:space="preserve">Clay v1.5 (frozen + head)</w:t>
            </w:r>
          </w:p>
        </w:tc>
        <w:tc>
          <w:tcPr>
            <w:tcW w:type="dxa" w:w="2250"/>
          </w:tcPr>
          <w:p>
            <w:r>
              <w:t xml:space="preserve">0.936</w:t>
            </w:r>
          </w:p>
        </w:tc>
        <w:tc>
          <w:tcPr>
            <w:tcW w:type="dxa" w:w="2250"/>
          </w:tcPr>
          <w:p>
            <w:r>
              <w:t xml:space="preserve">0.345</w:t>
            </w:r>
          </w:p>
        </w:tc>
        <w:tc>
          <w:tcPr>
            <w:tcW w:type="dxa" w:w="2250"/>
          </w:tcPr>
          <w:p>
            <w:r>
              <w:t xml:space="preserve">0.224</w:t>
            </w:r>
          </w:p>
        </w:tc>
      </w:tr>
      <w:tr>
        <w:tc>
          <w:tcPr>
            <w:tcW w:type="dxa" w:w="2250"/>
          </w:tcPr>
          <w:p>
            <w:r>
              <w:t xml:space="preserve">U-Net (from scratch)</w:t>
            </w:r>
          </w:p>
        </w:tc>
        <w:tc>
          <w:tcPr>
            <w:tcW w:type="dxa" w:w="2250"/>
          </w:tcPr>
          <w:p>
            <w:r>
              <w:t xml:space="preserve">0.929</w:t>
            </w:r>
          </w:p>
        </w:tc>
        <w:tc>
          <w:tcPr>
            <w:tcW w:type="dxa" w:w="2250"/>
          </w:tcPr>
          <w:p>
            <w:r>
              <w:t xml:space="preserve">0.325</w:t>
            </w:r>
          </w:p>
        </w:tc>
        <w:tc>
          <w:tcPr>
            <w:tcW w:type="dxa" w:w="2250"/>
          </w:tcPr>
          <w:p>
            <w:r>
              <w:t xml:space="preserve">0.201</w:t>
            </w:r>
          </w:p>
        </w:tc>
      </w:tr>
    </w:tbl>
    <w:p>
      <w:pPr>
        <w:spacing w:after="160" w:before="160"/>
      </w:pPr>
      <w:r>
        <w:t xml:space="preserve">Both foundation models beat the from-scratch U-Net on the harder minority classes in this single run; Prithvi’s full fine-tune shows the largest margin.</w:t>
      </w:r>
    </w:p>
    <w:p>
      <w:pPr>
        <w:pStyle w:val="Heading2"/>
      </w:pPr>
      <w:r>
        <w:t xml:space="preserve">4.2 Generalization test: the headline result does not travel (Phase P1)</w:t>
      </w:r>
    </w:p>
    <w:p>
      <w:pPr>
        <w:spacing w:after="160"/>
      </w:pPr>
      <w:r>
        <w:t xml:space="preserve">Evaluating the exact checkpoints above (no retraining) on the real Sylhet AOI (class balance: other 88.9%, water 7.4%, built_up 3.7%):</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D9E2F3" w:val="clear"/>
          </w:tcPr>
          <w:p>
            <w:r>
              <w:rPr>
                <w:b/>
                <w:bCs/>
              </w:rPr>
              <w:t xml:space="preserve">Model</w:t>
            </w:r>
          </w:p>
        </w:tc>
        <w:tc>
          <w:tcPr>
            <w:tcW w:type="dxa" w:w="1800"/>
            <w:shd w:fill="D9E2F3" w:val="clear"/>
          </w:tcPr>
          <w:p>
            <w:r>
              <w:rPr>
                <w:b/>
                <w:bCs/>
              </w:rPr>
              <w:t xml:space="preserve">Region</w:t>
            </w:r>
          </w:p>
        </w:tc>
        <w:tc>
          <w:tcPr>
            <w:tcW w:type="dxa" w:w="1800"/>
            <w:shd w:fill="D9E2F3" w:val="clear"/>
          </w:tcPr>
          <w:p>
            <w:r>
              <w:rPr>
                <w:b/>
                <w:bCs/>
              </w:rPr>
              <w:t xml:space="preserve">IoU other</w:t>
            </w:r>
          </w:p>
        </w:tc>
        <w:tc>
          <w:tcPr>
            <w:tcW w:type="dxa" w:w="1800"/>
            <w:shd w:fill="D9E2F3" w:val="clear"/>
          </w:tcPr>
          <w:p>
            <w:r>
              <w:rPr>
                <w:b/>
                <w:bCs/>
              </w:rPr>
              <w:t xml:space="preserve">IoU water</w:t>
            </w:r>
          </w:p>
        </w:tc>
        <w:tc>
          <w:tcPr>
            <w:tcW w:type="dxa" w:w="1800"/>
            <w:shd w:fill="D9E2F3" w:val="clear"/>
          </w:tcPr>
          <w:p>
            <w:r>
              <w:rPr>
                <w:b/>
                <w:bCs/>
              </w:rPr>
              <w:t xml:space="preserve">IoU built_up</w:t>
            </w:r>
          </w:p>
        </w:tc>
      </w:tr>
      <w:tr>
        <w:tc>
          <w:tcPr>
            <w:tcW w:type="dxa" w:w="1800"/>
          </w:tcPr>
          <w:p>
            <w:r>
              <w:t xml:space="preserve">Prithvi</w:t>
            </w:r>
          </w:p>
        </w:tc>
        <w:tc>
          <w:tcPr>
            <w:tcW w:type="dxa" w:w="1800"/>
          </w:tcPr>
          <w:p>
            <w:r>
              <w:t xml:space="preserve">Dhaka (training tile)</w:t>
            </w:r>
          </w:p>
        </w:tc>
        <w:tc>
          <w:tcPr>
            <w:tcW w:type="dxa" w:w="1800"/>
          </w:tcPr>
          <w:p>
            <w:r>
              <w:t xml:space="preserve">0.934</w:t>
            </w:r>
          </w:p>
        </w:tc>
        <w:tc>
          <w:tcPr>
            <w:tcW w:type="dxa" w:w="1800"/>
          </w:tcPr>
          <w:p>
            <w:r>
              <w:t xml:space="preserve">0.442</w:t>
            </w:r>
          </w:p>
        </w:tc>
        <w:tc>
          <w:tcPr>
            <w:tcW w:type="dxa" w:w="1800"/>
          </w:tcPr>
          <w:p>
            <w:r>
              <w:t xml:space="preserve">0.284</w:t>
            </w:r>
          </w:p>
        </w:tc>
      </w:tr>
      <w:tr>
        <w:tc>
          <w:tcPr>
            <w:tcW w:type="dxa" w:w="1800"/>
          </w:tcPr>
          <w:p>
            <w:r>
              <w:t xml:space="preserve">Prithvi</w:t>
            </w:r>
          </w:p>
        </w:tc>
        <w:tc>
          <w:tcPr>
            <w:tcW w:type="dxa" w:w="1800"/>
          </w:tcPr>
          <w:p>
            <w:r>
              <w:t xml:space="preserve">Sylhet (new)</w:t>
            </w:r>
          </w:p>
        </w:tc>
        <w:tc>
          <w:tcPr>
            <w:tcW w:type="dxa" w:w="1800"/>
          </w:tcPr>
          <w:p>
            <w:r>
              <w:t xml:space="preserve">0.891</w:t>
            </w:r>
          </w:p>
        </w:tc>
        <w:tc>
          <w:tcPr>
            <w:tcW w:type="dxa" w:w="1800"/>
          </w:tcPr>
          <w:p>
            <w:r>
              <w:t xml:space="preserve">0.000</w:t>
            </w:r>
          </w:p>
        </w:tc>
        <w:tc>
          <w:tcPr>
            <w:tcW w:type="dxa" w:w="1800"/>
          </w:tcPr>
          <w:p>
            <w:r>
              <w:t xml:space="preserve">0.000</w:t>
            </w:r>
          </w:p>
        </w:tc>
      </w:tr>
      <w:tr>
        <w:tc>
          <w:tcPr>
            <w:tcW w:type="dxa" w:w="1800"/>
          </w:tcPr>
          <w:p>
            <w:r>
              <w:t xml:space="preserve">U-Net</w:t>
            </w:r>
          </w:p>
        </w:tc>
        <w:tc>
          <w:tcPr>
            <w:tcW w:type="dxa" w:w="1800"/>
          </w:tcPr>
          <w:p>
            <w:r>
              <w:t xml:space="preserve">Dhaka</w:t>
            </w:r>
          </w:p>
        </w:tc>
        <w:tc>
          <w:tcPr>
            <w:tcW w:type="dxa" w:w="1800"/>
          </w:tcPr>
          <w:p>
            <w:r>
              <w:t xml:space="preserve">0.929</w:t>
            </w:r>
          </w:p>
        </w:tc>
        <w:tc>
          <w:tcPr>
            <w:tcW w:type="dxa" w:w="1800"/>
          </w:tcPr>
          <w:p>
            <w:r>
              <w:t xml:space="preserve">0.325</w:t>
            </w:r>
          </w:p>
        </w:tc>
        <w:tc>
          <w:tcPr>
            <w:tcW w:type="dxa" w:w="1800"/>
          </w:tcPr>
          <w:p>
            <w:r>
              <w:t xml:space="preserve">0.201</w:t>
            </w:r>
          </w:p>
        </w:tc>
      </w:tr>
      <w:tr>
        <w:tc>
          <w:tcPr>
            <w:tcW w:type="dxa" w:w="1800"/>
          </w:tcPr>
          <w:p>
            <w:r>
              <w:t xml:space="preserve">U-Net</w:t>
            </w:r>
          </w:p>
        </w:tc>
        <w:tc>
          <w:tcPr>
            <w:tcW w:type="dxa" w:w="1800"/>
          </w:tcPr>
          <w:p>
            <w:r>
              <w:t xml:space="preserve">Sylhet (new)</w:t>
            </w:r>
          </w:p>
        </w:tc>
        <w:tc>
          <w:tcPr>
            <w:tcW w:type="dxa" w:w="1800"/>
          </w:tcPr>
          <w:p>
            <w:r>
              <w:t xml:space="preserve">0.891</w:t>
            </w:r>
          </w:p>
        </w:tc>
        <w:tc>
          <w:tcPr>
            <w:tcW w:type="dxa" w:w="1800"/>
          </w:tcPr>
          <w:p>
            <w:r>
              <w:t xml:space="preserve">0.000</w:t>
            </w:r>
          </w:p>
        </w:tc>
        <w:tc>
          <w:tcPr>
            <w:tcW w:type="dxa" w:w="1800"/>
          </w:tcPr>
          <w:p>
            <w:r>
              <w:t xml:space="preserve">0.000</w:t>
            </w:r>
          </w:p>
        </w:tc>
      </w:tr>
      <w:tr>
        <w:tc>
          <w:tcPr>
            <w:tcW w:type="dxa" w:w="1800"/>
          </w:tcPr>
          <w:p>
            <w:r>
              <w:t xml:space="preserve">Clay</w:t>
            </w:r>
          </w:p>
        </w:tc>
        <w:tc>
          <w:tcPr>
            <w:tcW w:type="dxa" w:w="1800"/>
          </w:tcPr>
          <w:p>
            <w:r>
              <w:t xml:space="preserve">Dhaka</w:t>
            </w:r>
          </w:p>
        </w:tc>
        <w:tc>
          <w:tcPr>
            <w:tcW w:type="dxa" w:w="1800"/>
          </w:tcPr>
          <w:p>
            <w:r>
              <w:t xml:space="preserve">0.936</w:t>
            </w:r>
          </w:p>
        </w:tc>
        <w:tc>
          <w:tcPr>
            <w:tcW w:type="dxa" w:w="1800"/>
          </w:tcPr>
          <w:p>
            <w:r>
              <w:t xml:space="preserve">0.345</w:t>
            </w:r>
          </w:p>
        </w:tc>
        <w:tc>
          <w:tcPr>
            <w:tcW w:type="dxa" w:w="1800"/>
          </w:tcPr>
          <w:p>
            <w:r>
              <w:t xml:space="preserve">0.224</w:t>
            </w:r>
          </w:p>
        </w:tc>
      </w:tr>
      <w:tr>
        <w:tc>
          <w:tcPr>
            <w:tcW w:type="dxa" w:w="1800"/>
          </w:tcPr>
          <w:p>
            <w:r>
              <w:t xml:space="preserve">Clay</w:t>
            </w:r>
          </w:p>
        </w:tc>
        <w:tc>
          <w:tcPr>
            <w:tcW w:type="dxa" w:w="1800"/>
          </w:tcPr>
          <w:p>
            <w:r>
              <w:t xml:space="preserve">Sylhet (new)</w:t>
            </w:r>
          </w:p>
        </w:tc>
        <w:tc>
          <w:tcPr>
            <w:tcW w:type="dxa" w:w="1800"/>
          </w:tcPr>
          <w:p>
            <w:r>
              <w:t xml:space="preserve">0.096</w:t>
            </w:r>
          </w:p>
        </w:tc>
        <w:tc>
          <w:tcPr>
            <w:tcW w:type="dxa" w:w="1800"/>
          </w:tcPr>
          <w:p>
            <w:r>
              <w:t xml:space="preserve">0.066</w:t>
            </w:r>
          </w:p>
        </w:tc>
        <w:tc>
          <w:tcPr>
            <w:tcW w:type="dxa" w:w="1800"/>
          </w:tcPr>
          <w:p>
            <w:r>
              <w:t xml:space="preserve">0.005</w:t>
            </w:r>
          </w:p>
        </w:tc>
      </w:tr>
    </w:tbl>
    <w:p>
      <w:pPr>
        <w:spacing w:after="160" w:before="160"/>
      </w:pPr>
      <w:r>
        <w:t xml:space="preserve">Prithvi and U-Net both collapse to predicting the majority class (“other”) for virtually every pixel 140km away – confirmed via per-class accuracy (</w:t>
      </w:r>
      <w:r>
        <w:rPr>
          <w:rFonts w:ascii="Courier New" w:cs="Courier New" w:eastAsia="Courier New" w:hAnsi="Courier New"/>
        </w:rPr>
        <w:t xml:space="preserve">Class_Accuracy_water=0.0</w:t>
      </w:r>
      <w:r>
        <w:t xml:space="preserve">, </w:t>
      </w:r>
      <w:r>
        <w:rPr>
          <w:rFonts w:ascii="Courier New" w:cs="Courier New" w:eastAsia="Courier New" w:hAnsi="Courier New"/>
        </w:rPr>
        <w:t xml:space="preserve">Class_Accuracy_built_up=0.0</w:t>
      </w:r>
      <w:r>
        <w:t xml:space="preserve">, </w:t>
      </w:r>
      <w:r>
        <w:rPr>
          <w:rFonts w:ascii="Courier New" w:cs="Courier New" w:eastAsia="Courier New" w:hAnsi="Courier New"/>
        </w:rPr>
        <w:t xml:space="preserve">Class_Accuracy_other=0.9999</w:t>
      </w:r>
      <w:r>
        <w:t xml:space="preserve"> for Prithvi), and their identical 0.891 “other” IoU is not a coincidence: it is exactly the region’s true “other” base rate (0.889), the arithmetic signature of total class collapse. Clay fails differently – near-random noise across all three classes, worse than trivial majority-guessing would score. Strong held-out performance on the training tile predicted nothing about performance one province over.</w:t>
      </w:r>
    </w:p>
    <w:p>
      <w:pPr>
        <w:pStyle w:val="Heading2"/>
      </w:pPr>
      <w:r>
        <w:t xml:space="preserve">4.3 The real event: classical beats both foundation models (Phase P2)</w:t>
      </w:r>
    </w:p>
    <w:p>
      <w:pPr>
        <w:spacing w:after="160"/>
      </w:pPr>
      <w:r>
        <w:t xml:space="preserve">Three-way comparison on the real Sunamganj flood (36 tiles total, 30 train/6 held-out):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dxa" w:w="1500"/>
            <w:shd w:fill="D9E2F3" w:val="clear"/>
          </w:tcPr>
          <w:p>
            <w:r>
              <w:rPr>
                <w:b/>
                <w:bCs/>
              </w:rPr>
              <w:t xml:space="preserve">Method</w:t>
            </w:r>
          </w:p>
        </w:tc>
        <w:tc>
          <w:tcPr>
            <w:tcW w:type="dxa" w:w="1500"/>
            <w:shd w:fill="D9E2F3" w:val="clear"/>
          </w:tcPr>
          <w:p>
            <w:r>
              <w:rPr>
                <w:b/>
                <w:bCs/>
              </w:rPr>
              <w:t xml:space="preserve">Held-out IoU (water)</w:t>
            </w:r>
          </w:p>
        </w:tc>
        <w:tc>
          <w:tcPr>
            <w:tcW w:type="dxa" w:w="1500"/>
            <w:shd w:fill="D9E2F3" w:val="clear"/>
          </w:tcPr>
          <w:p>
            <w:r>
              <w:rPr>
                <w:b/>
                <w:bCs/>
              </w:rPr>
              <w:t xml:space="preserve">Flood extent</w:t>
            </w:r>
          </w:p>
        </w:tc>
        <w:tc>
          <w:tcPr>
            <w:tcW w:type="dxa" w:w="1500"/>
            <w:shd w:fill="D9E2F3" w:val="clear"/>
          </w:tcPr>
          <w:p>
            <w:r>
              <w:rPr>
                <w:b/>
                <w:bCs/>
              </w:rPr>
              <w:t xml:space="preserve">Polygons</w:t>
            </w:r>
          </w:p>
        </w:tc>
        <w:tc>
          <w:tcPr>
            <w:tcW w:type="dxa" w:w="1500"/>
            <w:shd w:fill="D9E2F3" w:val="clear"/>
          </w:tcPr>
          <w:p>
            <w:r>
              <w:rPr>
                <w:b/>
                <w:bCs/>
              </w:rPr>
              <w:t xml:space="preserve">Facilities at risk</w:t>
            </w:r>
          </w:p>
        </w:tc>
        <w:tc>
          <w:tcPr>
            <w:tcW w:type="dxa" w:w="1500"/>
            <w:shd w:fill="D9E2F3" w:val="clear"/>
          </w:tcPr>
          <w:p>
            <w:r>
              <w:rPr>
                <w:b/>
                <w:bCs/>
              </w:rPr>
              <w:t xml:space="preserve">Population affected</w:t>
            </w:r>
          </w:p>
        </w:tc>
      </w:tr>
      <w:tr>
        <w:tc>
          <w:tcPr>
            <w:tcW w:type="dxa" w:w="1500"/>
          </w:tcPr>
          <w:p>
            <w:r>
              <w:t xml:space="preserve">Otsu threshold (classical)</w:t>
            </w:r>
          </w:p>
        </w:tc>
        <w:tc>
          <w:tcPr>
            <w:tcW w:type="dxa" w:w="1500"/>
          </w:tcPr>
          <w:p>
            <w:r>
              <w:t xml:space="preserve">–</w:t>
            </w:r>
          </w:p>
        </w:tc>
        <w:tc>
          <w:tcPr>
            <w:tcW w:type="dxa" w:w="1500"/>
          </w:tcPr>
          <w:p>
            <w:r>
              <w:t xml:space="preserve">8.02%</w:t>
            </w:r>
          </w:p>
        </w:tc>
        <w:tc>
          <w:tcPr>
            <w:tcW w:type="dxa" w:w="1500"/>
          </w:tcPr>
          <w:p>
            <w:r>
              <w:t xml:space="preserve">418</w:t>
            </w:r>
          </w:p>
        </w:tc>
        <w:tc>
          <w:tcPr>
            <w:tcW w:type="dxa" w:w="1500"/>
          </w:tcPr>
          <w:p>
            <w:r>
              <w:t xml:space="preserve">5/13</w:t>
            </w:r>
          </w:p>
        </w:tc>
        <w:tc>
          <w:tcPr>
            <w:tcW w:type="dxa" w:w="1500"/>
          </w:tcPr>
          <w:p>
            <w:r>
              <w:t xml:space="preserve">20,905</w:t>
            </w:r>
          </w:p>
        </w:tc>
      </w:tr>
      <w:tr>
        <w:tc>
          <w:tcPr>
            <w:tcW w:type="dxa" w:w="1500"/>
          </w:tcPr>
          <w:p>
            <w:r>
              <w:t xml:space="preserve">SAR U-Net (fresh GPU, 100 epochs)</w:t>
            </w:r>
          </w:p>
        </w:tc>
        <w:tc>
          <w:tcPr>
            <w:tcW w:type="dxa" w:w="1500"/>
          </w:tcPr>
          <w:p>
            <w:r>
              <w:t xml:space="preserve">0.130</w:t>
            </w:r>
          </w:p>
        </w:tc>
        <w:tc>
          <w:tcPr>
            <w:tcW w:type="dxa" w:w="1500"/>
          </w:tcPr>
          <w:p>
            <w:r>
              <w:t xml:space="preserve">3.02%</w:t>
            </w:r>
          </w:p>
        </w:tc>
        <w:tc>
          <w:tcPr>
            <w:tcW w:type="dxa" w:w="1500"/>
          </w:tcPr>
          <w:p>
            <w:r>
              <w:t xml:space="preserve">331</w:t>
            </w:r>
          </w:p>
        </w:tc>
        <w:tc>
          <w:tcPr>
            <w:tcW w:type="dxa" w:w="1500"/>
          </w:tcPr>
          <w:p>
            <w:r>
              <w:t xml:space="preserve">6/13</w:t>
            </w:r>
          </w:p>
        </w:tc>
        <w:tc>
          <w:tcPr>
            <w:tcW w:type="dxa" w:w="1500"/>
          </w:tcPr>
          <w:p>
            <w:r>
              <w:t xml:space="preserve">14,486</w:t>
            </w:r>
          </w:p>
        </w:tc>
      </w:tr>
      <w:tr>
        <w:tc>
          <w:tcPr>
            <w:tcW w:type="dxa" w:w="1500"/>
          </w:tcPr>
          <w:p>
            <w:r>
              <w:t xml:space="preserve">Clay v1.5 (SAR)</w:t>
            </w:r>
          </w:p>
        </w:tc>
        <w:tc>
          <w:tcPr>
            <w:tcW w:type="dxa" w:w="1500"/>
          </w:tcPr>
          <w:p>
            <w:r>
              <w:t xml:space="preserve">0.040</w:t>
            </w:r>
          </w:p>
        </w:tc>
        <w:tc>
          <w:tcPr>
            <w:tcW w:type="dxa" w:w="1500"/>
          </w:tcPr>
          <w:p>
            <w:r>
              <w:t xml:space="preserve">–</w:t>
            </w:r>
          </w:p>
        </w:tc>
        <w:tc>
          <w:tcPr>
            <w:tcW w:type="dxa" w:w="1500"/>
          </w:tcPr>
          <w:p>
            <w:r>
              <w:t xml:space="preserve">–</w:t>
            </w:r>
          </w:p>
        </w:tc>
        <w:tc>
          <w:tcPr>
            <w:tcW w:type="dxa" w:w="1500"/>
          </w:tcPr>
          <w:p>
            <w:r>
              <w:t xml:space="preserve">–</w:t>
            </w:r>
          </w:p>
        </w:tc>
        <w:tc>
          <w:tcPr>
            <w:tcW w:type="dxa" w:w="1500"/>
          </w:tcPr>
          <w:p>
            <w:r>
              <w:t xml:space="preserve">–</w:t>
            </w:r>
          </w:p>
        </w:tc>
      </w:tr>
    </w:tbl>
    <w:p>
      <w:pPr>
        <w:spacing w:after="160" w:before="160"/>
      </w:pPr>
      <w:r>
        <w:t xml:space="preserve">A full GPU epoch budget meaningfully improves the U-Net over an earlier CPU-limited 10-epoch attempt (IoU 0.077 → 0.130, ~70% relative), but it remains far below the comparable U-Net baseline (0.823) and Prithvi range (0.699–0.779) reported on the curated Sen1Floods11 benchmark (Section 5; Clay has no published flood-segmentation benchmark number to compare against at all). It also disagrees with the classical method about </w:t>
      </w:r>
      <w:r>
        <w:rPr>
          <w:i/>
          <w:iCs/>
        </w:rPr>
        <w:t xml:space="preserve">which</w:t>
      </w:r>
      <w:r>
        <w:t xml:space="preserve"> facilities are at risk, not just how much area floods (6 vs. 5 of 13 facilities, despite mapping </w:t>
      </w:r>
      <w:r>
        <w:rPr>
          <w:i/>
          <w:iCs/>
        </w:rPr>
        <w:t xml:space="preserve">less</w:t>
      </w:r>
      <w:r>
        <w:t xml:space="preserve"> than half the flooded area). Clay transfers poorly from its optical/multi-sensor pretraining to raw SAR backscatter. On this one real, consequential event, the decades-old (Otsu, 1979) classical threshold remains the most defensible method of the three.</w:t>
      </w:r>
    </w:p>
    <w:p>
      <w:pPr>
        <w:pStyle w:val="Heading2"/>
      </w:pPr>
      <w:r>
        <w:t xml:space="preserve">4.4 Label efficiency: a real trend for one task, honest noise for the other (Phase P3)</w:t>
      </w:r>
    </w:p>
    <w:p>
      <w:pPr>
        <w:spacing w:after="160"/>
      </w:pPr>
      <w:r>
        <w:t xml:space="preserve">Land cover (25/50/100% of 64 train tiles, nested budgets):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D9E2F3" w:val="clear"/>
          </w:tcPr>
          <w:p>
            <w:r>
              <w:rPr>
                <w:b/>
                <w:bCs/>
              </w:rPr>
              <w:t xml:space="preserve">Model</w:t>
            </w:r>
          </w:p>
        </w:tc>
        <w:tc>
          <w:tcPr>
            <w:tcW w:type="dxa" w:w="2250"/>
            <w:shd w:fill="D9E2F3" w:val="clear"/>
          </w:tcPr>
          <w:p>
            <w:r>
              <w:rPr>
                <w:b/>
                <w:bCs/>
              </w:rPr>
              <w:t xml:space="preserve">25% built_up</w:t>
            </w:r>
          </w:p>
        </w:tc>
        <w:tc>
          <w:tcPr>
            <w:tcW w:type="dxa" w:w="2250"/>
            <w:shd w:fill="D9E2F3" w:val="clear"/>
          </w:tcPr>
          <w:p>
            <w:r>
              <w:rPr>
                <w:b/>
                <w:bCs/>
              </w:rPr>
              <w:t xml:space="preserve">50% built_up</w:t>
            </w:r>
          </w:p>
        </w:tc>
        <w:tc>
          <w:tcPr>
            <w:tcW w:type="dxa" w:w="2250"/>
            <w:shd w:fill="D9E2F3" w:val="clear"/>
          </w:tcPr>
          <w:p>
            <w:r>
              <w:rPr>
                <w:b/>
                <w:bCs/>
              </w:rPr>
              <w:t xml:space="preserve">100% built_up</w:t>
            </w:r>
          </w:p>
        </w:tc>
      </w:tr>
      <w:tr>
        <w:tc>
          <w:tcPr>
            <w:tcW w:type="dxa" w:w="2250"/>
          </w:tcPr>
          <w:p>
            <w:r>
              <w:t xml:space="preserve">Prithvi</w:t>
            </w:r>
          </w:p>
        </w:tc>
        <w:tc>
          <w:tcPr>
            <w:tcW w:type="dxa" w:w="2250"/>
          </w:tcPr>
          <w:p>
            <w:r>
              <w:t xml:space="preserve">0.152</w:t>
            </w:r>
          </w:p>
        </w:tc>
        <w:tc>
          <w:tcPr>
            <w:tcW w:type="dxa" w:w="2250"/>
          </w:tcPr>
          <w:p>
            <w:r>
              <w:t xml:space="preserve">0.188</w:t>
            </w:r>
          </w:p>
        </w:tc>
        <w:tc>
          <w:tcPr>
            <w:tcW w:type="dxa" w:w="2250"/>
          </w:tcPr>
          <w:p>
            <w:r>
              <w:t xml:space="preserve">0.284</w:t>
            </w:r>
          </w:p>
        </w:tc>
      </w:tr>
      <w:tr>
        <w:tc>
          <w:tcPr>
            <w:tcW w:type="dxa" w:w="2250"/>
          </w:tcPr>
          <w:p>
            <w:r>
              <w:t xml:space="preserve">U-Net</w:t>
            </w:r>
          </w:p>
        </w:tc>
        <w:tc>
          <w:tcPr>
            <w:tcW w:type="dxa" w:w="2250"/>
          </w:tcPr>
          <w:p>
            <w:r>
              <w:t xml:space="preserve">0.164</w:t>
            </w:r>
          </w:p>
        </w:tc>
        <w:tc>
          <w:tcPr>
            <w:tcW w:type="dxa" w:w="2250"/>
          </w:tcPr>
          <w:p>
            <w:r>
              <w:t xml:space="preserve">0.186</w:t>
            </w:r>
          </w:p>
        </w:tc>
        <w:tc>
          <w:tcPr>
            <w:tcW w:type="dxa" w:w="2250"/>
          </w:tcPr>
          <w:p>
            <w:r>
              <w:t xml:space="preserve">0.201</w:t>
            </w:r>
          </w:p>
        </w:tc>
      </w:tr>
      <w:tr>
        <w:tc>
          <w:tcPr>
            <w:tcW w:type="dxa" w:w="2250"/>
          </w:tcPr>
          <w:p>
            <w:r>
              <w:t xml:space="preserve">Clay</w:t>
            </w:r>
          </w:p>
        </w:tc>
        <w:tc>
          <w:tcPr>
            <w:tcW w:type="dxa" w:w="2250"/>
          </w:tcPr>
          <w:p>
            <w:r>
              <w:t xml:space="preserve">0.248</w:t>
            </w:r>
          </w:p>
        </w:tc>
        <w:tc>
          <w:tcPr>
            <w:tcW w:type="dxa" w:w="2250"/>
          </w:tcPr>
          <w:p>
            <w:r>
              <w:t xml:space="preserve">0.236</w:t>
            </w:r>
          </w:p>
        </w:tc>
        <w:tc>
          <w:tcPr>
            <w:tcW w:type="dxa" w:w="2250"/>
          </w:tcPr>
          <w:p>
            <w:r>
              <w:t xml:space="preserve">0.224</w:t>
            </w:r>
          </w:p>
        </w:tc>
      </w:tr>
    </w:tbl>
    <w:p>
      <w:pPr>
        <w:spacing w:before="160"/>
      </w:pPr>
      <w:r>
        <w:t xml:space="preserve">Flood/SAR (25/50/100% of 30 train tiles – 8/15/30 tiles in absolute terms):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D9E2F3" w:val="clear"/>
          </w:tcPr>
          <w:p>
            <w:r>
              <w:rPr>
                <w:b/>
                <w:bCs/>
              </w:rPr>
              <w:t xml:space="preserve">Model</w:t>
            </w:r>
          </w:p>
        </w:tc>
        <w:tc>
          <w:tcPr>
            <w:tcW w:type="dxa" w:w="2250"/>
            <w:shd w:fill="D9E2F3" w:val="clear"/>
          </w:tcPr>
          <w:p>
            <w:r>
              <w:rPr>
                <w:b/>
                <w:bCs/>
              </w:rPr>
              <w:t xml:space="preserve">25% IoU (water)</w:t>
            </w:r>
          </w:p>
        </w:tc>
        <w:tc>
          <w:tcPr>
            <w:tcW w:type="dxa" w:w="2250"/>
            <w:shd w:fill="D9E2F3" w:val="clear"/>
          </w:tcPr>
          <w:p>
            <w:r>
              <w:rPr>
                <w:b/>
                <w:bCs/>
              </w:rPr>
              <w:t xml:space="preserve">50%</w:t>
            </w:r>
          </w:p>
        </w:tc>
        <w:tc>
          <w:tcPr>
            <w:tcW w:type="dxa" w:w="2250"/>
            <w:shd w:fill="D9E2F3" w:val="clear"/>
          </w:tcPr>
          <w:p>
            <w:r>
              <w:rPr>
                <w:b/>
                <w:bCs/>
              </w:rPr>
              <w:t xml:space="preserve">100%</w:t>
            </w:r>
          </w:p>
        </w:tc>
      </w:tr>
      <w:tr>
        <w:tc>
          <w:tcPr>
            <w:tcW w:type="dxa" w:w="2250"/>
          </w:tcPr>
          <w:p>
            <w:r>
              <w:t xml:space="preserve">U-Net</w:t>
            </w:r>
          </w:p>
        </w:tc>
        <w:tc>
          <w:tcPr>
            <w:tcW w:type="dxa" w:w="2250"/>
          </w:tcPr>
          <w:p>
            <w:r>
              <w:t xml:space="preserve">0.105</w:t>
            </w:r>
          </w:p>
        </w:tc>
        <w:tc>
          <w:tcPr>
            <w:tcW w:type="dxa" w:w="2250"/>
          </w:tcPr>
          <w:p>
            <w:r>
              <w:t xml:space="preserve">0.092</w:t>
            </w:r>
          </w:p>
        </w:tc>
        <w:tc>
          <w:tcPr>
            <w:tcW w:type="dxa" w:w="2250"/>
          </w:tcPr>
          <w:p>
            <w:r>
              <w:t xml:space="preserve">0.130</w:t>
            </w:r>
          </w:p>
        </w:tc>
      </w:tr>
      <w:tr>
        <w:tc>
          <w:tcPr>
            <w:tcW w:type="dxa" w:w="2250"/>
          </w:tcPr>
          <w:p>
            <w:r>
              <w:t xml:space="preserve">Clay</w:t>
            </w:r>
          </w:p>
        </w:tc>
        <w:tc>
          <w:tcPr>
            <w:tcW w:type="dxa" w:w="2250"/>
          </w:tcPr>
          <w:p>
            <w:r>
              <w:t xml:space="preserve">0.078</w:t>
            </w:r>
          </w:p>
        </w:tc>
        <w:tc>
          <w:tcPr>
            <w:tcW w:type="dxa" w:w="2250"/>
          </w:tcPr>
          <w:p>
            <w:r>
              <w:t xml:space="preserve">0.074</w:t>
            </w:r>
          </w:p>
        </w:tc>
        <w:tc>
          <w:tcPr>
            <w:tcW w:type="dxa" w:w="2250"/>
          </w:tcPr>
          <w:p>
            <w:r>
              <w:t xml:space="preserve">0.040</w:t>
            </w:r>
          </w:p>
        </w:tc>
      </w:tr>
    </w:tbl>
    <w:p>
      <w:pPr>
        <w:spacing w:after="160" w:before="160"/>
      </w:pPr>
      <w:r>
        <w:t xml:space="preserve">On land cover, Prithvi’s built_up IoU clearly increases with more data – the opposite of an earlier under-trained (CPU, 10-epoch) attempt that had found no such benefit, resolved here as an artifact of that earlier under-training, not a real property of the model. On the flood task, at 8–30 total training tiles, neither model shows an interpretable trend (U-Net non-monotonic; Clay actually worsens with more data) – almost certainly sampling noise, and we report it as exactly that rather than searching for a story in it.</w:t>
      </w:r>
    </w:p>
    <w:p>
      <w:pPr>
        <w:pStyle w:val="Heading2"/>
      </w:pPr>
      <w:r>
        <w:t xml:space="preserve">4.5 Does the headline claim survive a seed check? (Phase P4a)</w:t>
      </w:r>
    </w:p>
    <w:p>
      <w:pPr>
        <w:spacing w:after="160"/>
      </w:pPr>
      <w:r>
        <w:t xml:space="preserve">Three seeded repeats, land cover, 100% budget: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D9E2F3" w:val="clear"/>
          </w:tcPr>
          <w:p>
            <w:r>
              <w:rPr>
                <w:b/>
                <w:bCs/>
              </w:rPr>
              <w:t xml:space="preserve">Comparison</w:t>
            </w:r>
          </w:p>
        </w:tc>
        <w:tc>
          <w:tcPr>
            <w:tcW w:type="dxa" w:w="2250"/>
            <w:shd w:fill="D9E2F3" w:val="clear"/>
          </w:tcPr>
          <w:p>
            <w:r>
              <w:rPr>
                <w:b/>
                <w:bCs/>
              </w:rPr>
              <w:t xml:space="preserve">Class</w:t>
            </w:r>
          </w:p>
        </w:tc>
        <w:tc>
          <w:tcPr>
            <w:tcW w:type="dxa" w:w="2250"/>
            <w:shd w:fill="D9E2F3" w:val="clear"/>
          </w:tcPr>
          <w:p>
            <w:r>
              <w:rPr>
                <w:b/>
                <w:bCs/>
              </w:rPr>
              <w:t xml:space="preserve">Per-seed paired difference</w:t>
            </w:r>
          </w:p>
        </w:tc>
        <w:tc>
          <w:tcPr>
            <w:tcW w:type="dxa" w:w="2250"/>
            <w:shd w:fill="D9E2F3" w:val="clear"/>
          </w:tcPr>
          <w:p>
            <w:r>
              <w:rPr>
                <w:b/>
                <w:bCs/>
              </w:rPr>
              <w:t xml:space="preserve">Robust?</w:t>
            </w:r>
          </w:p>
        </w:tc>
      </w:tr>
      <w:tr>
        <w:tc>
          <w:tcPr>
            <w:tcW w:type="dxa" w:w="2250"/>
          </w:tcPr>
          <w:p>
            <w:r>
              <w:t xml:space="preserve">Prithvi – U-Net</w:t>
            </w:r>
          </w:p>
        </w:tc>
        <w:tc>
          <w:tcPr>
            <w:tcW w:type="dxa" w:w="2250"/>
          </w:tcPr>
          <w:p>
            <w:r>
              <w:t xml:space="preserve">water</w:t>
            </w:r>
          </w:p>
        </w:tc>
        <w:tc>
          <w:tcPr>
            <w:tcW w:type="dxa" w:w="2250"/>
          </w:tcPr>
          <w:p>
            <w:r>
              <w:t xml:space="preserve">+0.148, +0.132, +0.121</w:t>
            </w:r>
          </w:p>
        </w:tc>
        <w:tc>
          <w:tcPr>
            <w:tcW w:type="dxa" w:w="2250"/>
          </w:tcPr>
          <w:p>
            <w:r>
              <w:t xml:space="preserve">Yes – all 3 seeds agree</w:t>
            </w:r>
          </w:p>
        </w:tc>
      </w:tr>
      <w:tr>
        <w:tc>
          <w:tcPr>
            <w:tcW w:type="dxa" w:w="2250"/>
          </w:tcPr>
          <w:p>
            <w:r>
              <w:t xml:space="preserve">Prithvi – U-Net</w:t>
            </w:r>
          </w:p>
        </w:tc>
        <w:tc>
          <w:tcPr>
            <w:tcW w:type="dxa" w:w="2250"/>
          </w:tcPr>
          <w:p>
            <w:r>
              <w:t xml:space="preserve">built_up</w:t>
            </w:r>
          </w:p>
        </w:tc>
        <w:tc>
          <w:tcPr>
            <w:tcW w:type="dxa" w:w="2250"/>
          </w:tcPr>
          <w:p>
            <w:r>
              <w:t xml:space="preserve">+0.045, +0.029, +0.053</w:t>
            </w:r>
          </w:p>
        </w:tc>
        <w:tc>
          <w:tcPr>
            <w:tcW w:type="dxa" w:w="2250"/>
          </w:tcPr>
          <w:p>
            <w:r>
              <w:t xml:space="preserve">Yes – all 3 seeds agree</w:t>
            </w:r>
          </w:p>
        </w:tc>
      </w:tr>
      <w:tr>
        <w:tc>
          <w:tcPr>
            <w:tcW w:type="dxa" w:w="2250"/>
          </w:tcPr>
          <w:p>
            <w:r>
              <w:t xml:space="preserve">Clay – U-Net</w:t>
            </w:r>
          </w:p>
        </w:tc>
        <w:tc>
          <w:tcPr>
            <w:tcW w:type="dxa" w:w="2250"/>
          </w:tcPr>
          <w:p>
            <w:r>
              <w:t xml:space="preserve">water</w:t>
            </w:r>
          </w:p>
        </w:tc>
        <w:tc>
          <w:tcPr>
            <w:tcW w:type="dxa" w:w="2250"/>
          </w:tcPr>
          <w:p>
            <w:r>
              <w:t xml:space="preserve">+0.041, –0.015, +0.015</w:t>
            </w:r>
          </w:p>
        </w:tc>
        <w:tc>
          <w:tcPr>
            <w:tcW w:type="dxa" w:w="2250"/>
          </w:tcPr>
          <w:p>
            <w:r>
              <w:t xml:space="preserve">No – sign flips</w:t>
            </w:r>
          </w:p>
        </w:tc>
      </w:tr>
      <w:tr>
        <w:tc>
          <w:tcPr>
            <w:tcW w:type="dxa" w:w="2250"/>
          </w:tcPr>
          <w:p>
            <w:r>
              <w:t xml:space="preserve">Clay – U-Net</w:t>
            </w:r>
          </w:p>
        </w:tc>
        <w:tc>
          <w:tcPr>
            <w:tcW w:type="dxa" w:w="2250"/>
          </w:tcPr>
          <w:p>
            <w:r>
              <w:t xml:space="preserve">built_up</w:t>
            </w:r>
          </w:p>
        </w:tc>
        <w:tc>
          <w:tcPr>
            <w:tcW w:type="dxa" w:w="2250"/>
          </w:tcPr>
          <w:p>
            <w:r>
              <w:t xml:space="preserve">+0.053, –0.011, –0.065</w:t>
            </w:r>
          </w:p>
        </w:tc>
        <w:tc>
          <w:tcPr>
            <w:tcW w:type="dxa" w:w="2250"/>
          </w:tcPr>
          <w:p>
            <w:r>
              <w:t xml:space="preserve">No – sign flips, mean ~ 0</w:t>
            </w:r>
          </w:p>
        </w:tc>
      </w:tr>
    </w:tbl>
    <w:p>
      <w:pPr>
        <w:spacing w:after="160" w:before="160"/>
      </w:pPr>
      <w:r>
        <w:t xml:space="preserve">Prithvi’s advantage in Section 4.1 is real. Clay’s apparent advantage in the same table is not – it was a single lucky draw. We say this plainly rather than letting an earlier table stand uncorrected.</w:t>
      </w:r>
    </w:p>
    <w:p>
      <w:pPr>
        <w:pStyle w:val="Heading1"/>
      </w:pPr>
      <w:r>
        <w:t xml:space="preserve">5. Discussion</w:t>
      </w:r>
    </w:p>
    <w:p>
      <w:pPr>
        <w:spacing w:after="160"/>
      </w:pPr>
      <w:r>
        <w:rPr>
          <w:b/>
          <w:bCs/>
        </w:rPr>
        <w:t xml:space="preserve">The benchmark-to-event gap is real and large.</w:t>
      </w:r>
      <w:r>
        <w:t xml:space="preserve"> </w:t>
      </w:r>
      <w:r>
        <w:rPr>
          <w:rFonts w:ascii="Courier New" w:cs="Courier New" w:eastAsia="Courier New" w:hAnsi="Courier New"/>
        </w:rPr>
        <w:t xml:space="preserve">eo-foundation-flood</w:t>
      </w:r>
      <w:r>
        <w:t xml:space="preserve">’s Sen1Floods11 numbers – Prithvi full fine-tune 0.779, LoRA 0.778, frozen 0.699, and its own from-scratch U-Net baseline at 0.823, all water IoU at 100% labels, all via clean optical Sentinel-2 input – are roughly 6–20x higher than what we measured on our one real event (U-Net 0.130, Clay 0.040, both via SAR). Some of this gap is expected and explicable, and we name every contributor we can rather than asserting one: Sen1Floods11 is a curated, hand-labeled, multi-event, multi-biome benchmark with far more and better-aligned training data than one small AOI’s 30 tiles; our ground truth (WorldCover’s static water layer) is a coarser, less event-specific label than Sen1Floods11’s hand-annotated flood masks; and, critically, our models had to work from SAR alone because the real flood window was too cloud-covered for optical input at all – the same real-world constraint that makes SAR the only honest choice for this event, and makes the clean, pre-selected, optical benchmark chips a genuinely easier problem by construction, not just a larger one. We cannot and do not claim to apportion the gap between these causes with the data we have. What we can say is the gap itself – and not knowing its size without measuring it on a real local case – is the practical risk a deployment decision maker faces: a benchmark number, even from a careful and well-run project, is not a promise about one specific AOI’s one specific event.</w:t>
      </w:r>
    </w:p>
    <w:p>
      <w:pPr>
        <w:spacing w:after="160"/>
      </w:pPr>
      <w:r>
        <w:rPr>
          <w:b/>
          <w:bCs/>
        </w:rPr>
        <w:t xml:space="preserve">Single-run comparisons are a real liability, not a theoretical one.</w:t>
      </w:r>
      <w:r>
        <w:t xml:space="preserve"> Section 4.5’s correction is not a hypothetical cautionary tale – it happened in this project’s own earlier phases, was caught only because we spent the GPU time to check, and would otherwise have stood as a real, cited, wrong claim (“Clay beats U-Net on both harder classes”). We do not know how often this happens elsewhere in the literature because most single-event comparisons we are aware of, including some cited above, do not report multiple seeds.</w:t>
      </w:r>
    </w:p>
    <w:p>
      <w:pPr>
        <w:spacing w:after="160"/>
      </w:pPr>
      <w:r>
        <w:rPr>
          <w:b/>
          <w:bCs/>
        </w:rPr>
        <w:t xml:space="preserve">Limitations, stated plainly.</w:t>
      </w:r>
      <w:r>
        <w:t xml:space="preserve"> Every number in this paper comes from one small AOI, one season, and (for the flood task) one event – generalizability claims beyond that scope are exactly what Section 4.2 shows should not be trusted without checking. Sample sizes are small enough to state exactly: 16 held-out land-cover tiles, 6 held-out flood tiles, 3 seeds for the one statistically-checked comparison. The remaining 12 of 15 possible (model x task x budget) seed-checked configurations were not run, for a stated reason (15–25+ hours of additional GPU time for a slice we judged lower-stakes than the one we did run) – not silently dropped. No paired significance test (e.g., a block bootstrap over held-out tiles) was computed; doing so honestly would require per-tile metric logging this project’s current </w:t>
      </w:r>
      <w:r>
        <w:rPr>
          <w:rFonts w:ascii="Courier New" w:cs="Courier New" w:eastAsia="Courier New" w:hAnsi="Courier New"/>
        </w:rPr>
        <w:t xml:space="preserve">test_step</w:t>
      </w:r>
      <w:r>
        <w:t xml:space="preserve"> implementations do not yet provide, a real, named engineering gap rather than a result we chose not to report.</w:t>
      </w:r>
    </w:p>
    <w:p>
      <w:pPr>
        <w:pStyle w:val="Heading1"/>
      </w:pPr>
      <w:r>
        <w:t xml:space="preserve">6. Conclusion</w:t>
      </w:r>
    </w:p>
    <w:p>
      <w:pPr>
        <w:spacing w:after="160"/>
      </w:pPr>
      <w:r>
        <w:t xml:space="preserve">On one small, real AOI and one small, real, consequential flood, a foundation model’s advantage over a from-scratch U-Net was real in one case (Prithvi, land cover) and not real in another (Clay, same task) – indistinguishable from each other without the seed check that caught the difference. On the real flood event, neither foundation model beat a decades-old classical threshold. None of the three models generalized to a nearby but untrained-on region. These are not criticisms of Prithvi or Clay as architectures – Prithvi in particular has real, strong, independently-reported numbers on curated multi-event flood-segmentation data that this paper’s own event-scale numbers fall well short of, for reasons partly explicable by data quantity/quality and partly just the nature of one real small deployment. The practical conclusion is narrower and, we think, more useful than either “foundation models always win” or “foundation models are overhyped”: at the scale most real local deployments actually operate at, the only way to know which model wins on </w:t>
      </w:r>
      <w:r>
        <w:rPr>
          <w:i/>
          <w:iCs/>
        </w:rPr>
        <w:t xml:space="preserve">your</w:t>
      </w:r>
      <w:r>
        <w:t xml:space="preserve"> AOI is to run the comparison on your own data, with more than one seed, and to check whether the winner still wins somewhere else before trusting it.</w:t>
      </w:r>
    </w:p>
    <w:p>
      <w:pPr>
        <w:pStyle w:val="Heading1"/>
      </w:pPr>
      <w:r>
        <w:t xml:space="preserve">Data and Code Availability</w:t>
      </w:r>
    </w:p>
    <w:p>
      <w:pPr>
        <w:spacing w:after="160"/>
      </w:pPr>
      <w:r>
        <w:t xml:space="preserve">All code, notebooks, and real Kaggle run logs referenced in this paper are public in a GitHub repository (link withheld from this blinded version for double-blind review; provided to the editor separately and will be included in the manuscript upon acceptance). Archiving with a Zenodo DOI is not yet done – a real, open action item, not assumed complete.</w:t>
      </w:r>
    </w:p>
    <w:p>
      <w:pPr>
        <w:pStyle w:val="Heading1"/>
      </w:pPr>
      <w:r>
        <w:t xml:space="preserve">References</w:t>
      </w:r>
    </w:p>
    <w:p>
      <w:pPr>
        <w:spacing w:after="160"/>
      </w:pPr>
      <w:r>
        <w:t xml:space="preserve">Marsocci, V. et al. PANGAEA: A Global and Inclusive Benchmark for Geospatial Foundation Models. arXiv:2412.04204, 2024.</w:t>
      </w:r>
    </w:p>
    <w:p>
      <w:pPr>
        <w:spacing w:after="160"/>
      </w:pPr>
      <w:r>
        <w:t xml:space="preserve">GEO-Bench-2: From Performance to Capability, Rethinking Evaluation in Geospatial AI. arXiv:2511.15658, 2025.</w:t>
      </w:r>
    </w:p>
    <w:p>
      <w:pPr>
        <w:spacing w:after="160"/>
      </w:pPr>
      <w:r>
        <w:t xml:space="preserve">Li, X. et al. REOBench: Benchmarking Robustness of Earth Observation Foundation Models. arXiv:2505.16793, 2025.</w:t>
      </w:r>
    </w:p>
    <w:p>
      <w:pPr>
        <w:spacing w:after="160"/>
      </w:pPr>
      <w:r>
        <w:t xml:space="preserve">Bonafilia, D. et al. Sen1Floods11: a georeferenced dataset to train and test deep learning flood algorithms for Sentinel-1. CVPR Workshops, 2020.</w:t>
      </w:r>
    </w:p>
    <w:p>
      <w:pPr>
        <w:spacing w:after="160"/>
      </w:pPr>
      <w:r>
        <w:t xml:space="preserve">Szwarcman, D. et al. Prithvi-EO-2.0: A Versatile Multi-Temporal Foundation Model for Earth Observation Applications. arXiv:2412.02732, 2024.</w:t>
      </w:r>
    </w:p>
    <w:p>
      <w:pPr>
        <w:spacing w:after="160"/>
      </w:pPr>
      <w:r>
        <w:t xml:space="preserve">eo-foundation-flood: in-progress, unpublished research project (no preprint as of this writing). Parameter-efficient fine-tuning of Prithvi-EO 2.0 (Clay planned, not yet reported) for flood segmentation on Sen1Floods11’s Sentinel-2 optical split. github.com/mertsemih/eo-foundation-flood (README read directly, 2026-10-03).</w:t>
      </w:r>
    </w:p>
    <w:p>
      <w:pPr>
        <w:spacing w:after="160"/>
      </w:pPr>
      <w:r>
        <w:t xml:space="preserve">Continuous Flood Nowcasting in South Asia: A Multi-Sensor Ensemble Remote Sensing Framework for Flood Extent. arXiv:2605.10950, 2026.</w:t>
      </w:r>
    </w:p>
    <w:p>
      <w:pPr>
        <w:spacing w:after="160"/>
      </w:pPr>
      <w:r>
        <w:t xml:space="preserve">HaorFloodAlert: A 72-Hour Machine Learning Early Warning System for Flash Floods in Bangladesh’s Haor Wetlands. arXiv:2605.20167, 2026.</w:t>
      </w:r>
    </w:p>
    <w:p>
      <w:pPr>
        <w:spacing w:after="160"/>
      </w:pPr>
      <w:r>
        <w:t xml:space="preserve">Flood risk prioritization in data-scarce regions: a tri-dimensional GIS-AHP framework for Northeastern Bangladesh. DOI: 10.2166/wcc.2026.264, 2026.</w:t>
      </w:r>
    </w:p>
    <w:p>
      <w:pPr>
        <w:spacing w:after="160"/>
      </w:pPr>
      <w:r>
        <w:t xml:space="preserve">Clay Foundation. Clay v1.5. github.com/Clay-foundation/model.</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2026-10-03T07:22:41.632Z</dcterms:created>
  <dcterms:modified xsi:type="dcterms:W3CDTF">2026-10-03T07:22:41.642Z</dcterms:modified>
</cp:coreProperties>
</file>

<file path=docProps/custom.xml><?xml version="1.0" encoding="utf-8"?>
<Properties xmlns="http://schemas.openxmlformats.org/officeDocument/2006/custom-properties" xmlns:vt="http://schemas.openxmlformats.org/officeDocument/2006/docPropsVTypes"/>
</file>