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</w:t>
      </w:r>
    </w:p>
    <w:p>
      <w:r>
        <w:t>Department: IT</w:t>
      </w:r>
    </w:p>
    <w:p>
      <w:r>
        <w:t>Document Type: Policy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Document retention schedules, encrypted archive storage, legal hold requirements,</w:t>
      </w:r>
    </w:p>
    <w:p>
      <w:r>
        <w:t>deletion approvals, and compliance reporting.</w:t>
      </w:r>
    </w:p>
    <w:p>
      <w:pPr>
        <w:pStyle w:val="Heading2"/>
      </w:pPr>
      <w:r>
        <w:t>Search Terms</w:t>
      </w:r>
    </w:p>
    <w:p>
      <w:r>
        <w:t>IT, Policy, Data Retention Policy,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