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Reimbursement Policy</w:t>
      </w:r>
    </w:p>
    <w:p>
      <w:r>
        <w:t>Department: Finance</w:t>
      </w:r>
    </w:p>
    <w:p>
      <w:r>
        <w:t>Document Type: Policy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Travel receipts, meal limits, mileage reimbursement, approval workflow, submission</w:t>
      </w:r>
    </w:p>
    <w:p>
      <w:r>
        <w:t>deadlines, and audit documentation requirements.</w:t>
      </w:r>
    </w:p>
    <w:p>
      <w:pPr>
        <w:pStyle w:val="Heading2"/>
      </w:pPr>
      <w:r>
        <w:t>Search Terms</w:t>
      </w:r>
    </w:p>
    <w:p>
      <w:r>
        <w:t>Finance, Policy, Expense Reimbursement Policy,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