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Level Agreement</w:t>
      </w:r>
    </w:p>
    <w:p>
      <w:r>
        <w:t>Department: Legal</w:t>
      </w:r>
    </w:p>
    <w:p>
      <w:r>
        <w:t>Document Type: Contract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Availability targets, support response times, service credits, maintenance windows,</w:t>
      </w:r>
    </w:p>
    <w:p>
      <w:r>
        <w:t>escalation contacts, and reporting obligations.</w:t>
      </w:r>
    </w:p>
    <w:p>
      <w:pPr>
        <w:pStyle w:val="Heading2"/>
      </w:pPr>
      <w:r>
        <w:t>Search Terms</w:t>
      </w:r>
    </w:p>
    <w:p>
      <w:r>
        <w:t>Legal, Contract, Service Level Agreement,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