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E"/>
          <w:sz w:val="48"/>
        </w:rPr>
        <w:t>Data responsibilities agreement</w:t>
      </w:r>
    </w:p>
    <w:p>
      <w:r>
        <w:rPr>
          <w:i/>
        </w:rPr>
        <w:t>Controller / joint-controller template · draft for a lawyer to check</w:t>
      </w:r>
    </w:p>
    <w:p>
      <w:r>
        <w:rPr>
          <w:b/>
        </w:rPr>
        <w:t>Draft template for a lawyer to adapt. Not legal advice.</w:t>
      </w:r>
      <w:r>
        <w:t xml:space="preserve"> Use one agreement per partner: (a) Impact Mining, Inc. and the Davidson AI Futures Lab (Oloibiri, Nigeria); (b) Impact Mining, Inc. and Maji Mazuri (Kenya); (c) any later partner. Fill the </w:t>
      </w:r>
      <w:r>
        <w:rPr>
          <w:b/>
        </w:rPr>
        <w:t>[brackets]</w:t>
      </w:r>
      <w:r>
        <w:t>. Sign after the entity is official.</w:t>
      </w:r>
    </w:p>
    <w:p>
      <w:r>
        <w:rPr>
          <w:b/>
        </w:rPr>
        <w:t>Parties:</w:t>
      </w:r>
      <w:r>
        <w:t xml:space="preserve"> Impact Mining, Inc., an Ohio nonprofit corporation, </w:t>
      </w:r>
      <w:r>
        <w:rPr>
          <w:b/>
        </w:rPr>
        <w:t>[address]</w:t>
      </w:r>
      <w:r>
        <w:t xml:space="preserve"> ("the Platform Operator"); and </w:t>
      </w:r>
      <w:r>
        <w:rPr>
          <w:b/>
        </w:rPr>
        <w:t>[partner legal name, address, registration]</w:t>
      </w:r>
      <w:r>
        <w:t xml:space="preserve"> ("the Partner").</w:t>
      </w:r>
    </w:p>
    <w:p>
      <w:pPr>
        <w:pStyle w:val="Heading2"/>
      </w:pPr>
      <w:r>
        <w:t>1. Purpose</w:t>
      </w:r>
    </w:p>
    <w:p>
      <w:r>
        <w:t>The Platform Operator provides the nextVillage learning platform. The Partner runs a local learning group that uses it. This agreement says who does what with the personal information of the Partner's learners, so that each of us meets the data protection laws that apply, including the Nigeria Data Protection Act 2023, the Kenya Data Protection Act 2019 and, for any US children, the COPPA Rule.</w:t>
      </w:r>
    </w:p>
    <w:p>
      <w:pPr>
        <w:pStyle w:val="Heading2"/>
      </w:pPr>
      <w:r>
        <w:t>2. Roles</w:t>
      </w:r>
    </w:p>
    <w:p>
      <w:pPr>
        <w:pStyle w:val="ListBullet"/>
      </w:pPr>
      <w:r>
        <w:t xml:space="preserve">The parties </w:t>
      </w:r>
      <w:r>
        <w:rPr>
          <w:b/>
        </w:rPr>
        <w:t>decide together</w:t>
      </w:r>
      <w:r>
        <w:t xml:space="preserve"> the purposes and means of processing learners' information for the learning program, and are therefore </w:t>
      </w:r>
      <w:r>
        <w:rPr>
          <w:b/>
        </w:rPr>
        <w:t>joint controllers</w:t>
      </w:r>
      <w:r>
        <w:t xml:space="preserve"> </w:t>
      </w:r>
      <w:r>
        <w:rPr>
          <w:b/>
        </w:rPr>
        <w:t>[lawyer to confirm; alternatively one is controller and the other processor]</w:t>
      </w:r>
      <w:r>
        <w:t>.</w:t>
      </w:r>
    </w:p>
    <w:p>
      <w:pPr>
        <w:pStyle w:val="ListBullet"/>
      </w:pPr>
      <w:r>
        <w:t>The Platform Operator runs the technology, security, vendors and deletion. The Partner chooses who joins, knows the families, collects guardian consents and acts on safety alerts.</w:t>
      </w:r>
    </w:p>
    <w:p>
      <w:pPr>
        <w:pStyle w:val="ListBullet"/>
      </w:pPr>
      <w:r>
        <w:t>Each party is responsible for its own compliance and must tell the other promptly if it cannot comply.</w:t>
      </w:r>
    </w:p>
    <w:p>
      <w:pPr>
        <w:pStyle w:val="Heading2"/>
      </w:pPr>
      <w:r>
        <w:t>3. What each party does</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BF4"/>
          </w:tcPr>
          <w:p>
            <w:r>
              <w:rPr>
                <w:b/>
                <w:sz w:val="18"/>
              </w:rPr>
            </w:r>
            <w:r>
              <w:rPr>
                <w:b/>
                <w:sz w:val="18"/>
              </w:rPr>
              <w:t>Topic</w:t>
            </w:r>
          </w:p>
        </w:tc>
        <w:tc>
          <w:tcPr>
            <w:tcW w:type="dxa" w:w="3137"/>
            <w:shd w:val="clear" w:color="auto" w:fill="E3EBF4"/>
          </w:tcPr>
          <w:p>
            <w:r>
              <w:rPr>
                <w:b/>
                <w:sz w:val="18"/>
              </w:rPr>
            </w:r>
            <w:r>
              <w:rPr>
                <w:b/>
                <w:sz w:val="18"/>
              </w:rPr>
              <w:t>Platform Operator</w:t>
            </w:r>
          </w:p>
        </w:tc>
        <w:tc>
          <w:tcPr>
            <w:tcW w:type="dxa" w:w="3137"/>
            <w:shd w:val="clear" w:color="auto" w:fill="E3EBF4"/>
          </w:tcPr>
          <w:p>
            <w:r>
              <w:rPr>
                <w:b/>
                <w:sz w:val="18"/>
              </w:rPr>
            </w:r>
            <w:r>
              <w:rPr>
                <w:b/>
                <w:sz w:val="18"/>
              </w:rPr>
              <w:t>Partner</w:t>
            </w:r>
          </w:p>
        </w:tc>
      </w:tr>
      <w:tr>
        <w:tc>
          <w:tcPr>
            <w:tcW w:type="dxa" w:w="3137"/>
          </w:tcPr>
          <w:p>
            <w:r>
              <w:rPr>
                <w:sz w:val="18"/>
              </w:rPr>
            </w:r>
            <w:r>
              <w:rPr>
                <w:sz w:val="18"/>
              </w:rPr>
              <w:t>Public privacy notice</w:t>
            </w:r>
          </w:p>
        </w:tc>
        <w:tc>
          <w:tcPr>
            <w:tcW w:type="dxa" w:w="3137"/>
          </w:tcPr>
          <w:p>
            <w:r>
              <w:rPr>
                <w:sz w:val="18"/>
              </w:rPr>
            </w:r>
            <w:r>
              <w:rPr>
                <w:sz w:val="18"/>
              </w:rPr>
              <w:t>Publishes and keeps it accurate</w:t>
            </w:r>
          </w:p>
        </w:tc>
        <w:tc>
          <w:tcPr>
            <w:tcW w:type="dxa" w:w="3137"/>
          </w:tcPr>
          <w:p>
            <w:r>
              <w:rPr>
                <w:sz w:val="18"/>
              </w:rPr>
            </w:r>
            <w:r>
              <w:rPr>
                <w:sz w:val="18"/>
              </w:rPr>
              <w:t>Gives families the notice and the short parent summary</w:t>
            </w:r>
          </w:p>
        </w:tc>
      </w:tr>
      <w:tr>
        <w:tc>
          <w:tcPr>
            <w:tcW w:type="dxa" w:w="3137"/>
          </w:tcPr>
          <w:p>
            <w:r>
              <w:rPr>
                <w:sz w:val="18"/>
              </w:rPr>
            </w:r>
            <w:r>
              <w:rPr>
                <w:sz w:val="18"/>
              </w:rPr>
              <w:t>Guardian consent (every learner under 18)</w:t>
            </w:r>
          </w:p>
        </w:tc>
        <w:tc>
          <w:tcPr>
            <w:tcW w:type="dxa" w:w="3137"/>
          </w:tcPr>
          <w:p>
            <w:r>
              <w:rPr>
                <w:sz w:val="18"/>
              </w:rPr>
            </w:r>
            <w:r>
              <w:rPr>
                <w:sz w:val="18"/>
              </w:rPr>
              <w:t>Provides the platform record and the model form</w:t>
            </w:r>
          </w:p>
        </w:tc>
        <w:tc>
          <w:tcPr>
            <w:tcW w:type="dxa" w:w="3137"/>
          </w:tcPr>
          <w:p>
            <w:r>
              <w:rPr>
                <w:sz w:val="18"/>
              </w:rPr>
            </w:r>
            <w:r>
              <w:rPr>
                <w:sz w:val="18"/>
              </w:rPr>
              <w:t xml:space="preserve">Collects each signed form </w:t>
            </w:r>
            <w:r>
              <w:rPr>
                <w:b/>
                <w:sz w:val="18"/>
              </w:rPr>
              <w:t>before</w:t>
            </w:r>
            <w:r>
              <w:rPr>
                <w:sz w:val="18"/>
              </w:rPr>
              <w:t xml:space="preserve"> approving a learner; stores originals safely; makes them available on request</w:t>
            </w:r>
          </w:p>
        </w:tc>
      </w:tr>
      <w:tr>
        <w:tc>
          <w:tcPr>
            <w:tcW w:type="dxa" w:w="3137"/>
          </w:tcPr>
          <w:p>
            <w:r>
              <w:rPr>
                <w:sz w:val="18"/>
              </w:rPr>
            </w:r>
            <w:r>
              <w:rPr>
                <w:sz w:val="18"/>
              </w:rPr>
              <w:t>Public recognition (names, images, voice, work)</w:t>
            </w:r>
          </w:p>
        </w:tc>
        <w:tc>
          <w:tcPr>
            <w:tcW w:type="dxa" w:w="3137"/>
          </w:tcPr>
          <w:p>
            <w:r>
              <w:rPr>
                <w:sz w:val="18"/>
              </w:rPr>
            </w:r>
            <w:r>
              <w:rPr>
                <w:sz w:val="18"/>
              </w:rPr>
              <w:t>Defaults to initials/pseudonyms</w:t>
            </w:r>
          </w:p>
        </w:tc>
        <w:tc>
          <w:tcPr>
            <w:tcW w:type="dxa" w:w="3137"/>
          </w:tcPr>
          <w:p>
            <w:r>
              <w:rPr>
                <w:sz w:val="18"/>
              </w:rPr>
            </w:r>
            <w:r>
              <w:rPr>
                <w:sz w:val="18"/>
              </w:rPr>
              <w:t>Uses a child's name, image or voice publicly only if the parent's form says so, and for the stated use</w:t>
            </w:r>
          </w:p>
        </w:tc>
      </w:tr>
      <w:tr>
        <w:tc>
          <w:tcPr>
            <w:tcW w:type="dxa" w:w="3137"/>
          </w:tcPr>
          <w:p>
            <w:r>
              <w:rPr>
                <w:sz w:val="18"/>
              </w:rPr>
            </w:r>
            <w:r>
              <w:rPr>
                <w:sz w:val="18"/>
              </w:rPr>
              <w:t>Approving members and removing leavers</w:t>
            </w:r>
          </w:p>
        </w:tc>
        <w:tc>
          <w:tcPr>
            <w:tcW w:type="dxa" w:w="3137"/>
          </w:tcPr>
          <w:p>
            <w:r>
              <w:rPr>
                <w:sz w:val="18"/>
              </w:rPr>
            </w:r>
            <w:r>
              <w:rPr>
                <w:sz w:val="18"/>
              </w:rPr>
              <w:t>Provides the tools</w:t>
            </w:r>
          </w:p>
        </w:tc>
        <w:tc>
          <w:tcPr>
            <w:tcW w:type="dxa" w:w="3137"/>
          </w:tcPr>
          <w:p>
            <w:r>
              <w:rPr>
                <w:sz w:val="18"/>
              </w:rPr>
            </w:r>
            <w:r>
              <w:rPr>
                <w:sz w:val="18"/>
              </w:rPr>
              <w:t>Approves only people it knows; removes leavers and helpers</w:t>
            </w:r>
          </w:p>
        </w:tc>
      </w:tr>
      <w:tr>
        <w:tc>
          <w:tcPr>
            <w:tcW w:type="dxa" w:w="3137"/>
          </w:tcPr>
          <w:p>
            <w:r>
              <w:rPr>
                <w:sz w:val="18"/>
              </w:rPr>
            </w:r>
            <w:r>
              <w:rPr>
                <w:sz w:val="18"/>
              </w:rPr>
              <w:t>Safety alerts</w:t>
            </w:r>
          </w:p>
        </w:tc>
        <w:tc>
          <w:tcPr>
            <w:tcW w:type="dxa" w:w="3137"/>
          </w:tcPr>
          <w:p>
            <w:r>
              <w:rPr>
                <w:sz w:val="18"/>
              </w:rPr>
            </w:r>
            <w:r>
              <w:rPr>
                <w:sz w:val="18"/>
              </w:rPr>
              <w:t>Delivers alerts and a backup address</w:t>
            </w:r>
          </w:p>
        </w:tc>
        <w:tc>
          <w:tcPr>
            <w:tcW w:type="dxa" w:w="3137"/>
          </w:tcPr>
          <w:p>
            <w:r>
              <w:rPr>
                <w:sz w:val="18"/>
              </w:rPr>
            </w:r>
            <w:r>
              <w:rPr>
                <w:sz w:val="18"/>
              </w:rPr>
              <w:t>Reads alerts the same day, follows up in person, records what was done, follows local child-protection law</w:t>
            </w:r>
          </w:p>
        </w:tc>
      </w:tr>
      <w:tr>
        <w:tc>
          <w:tcPr>
            <w:tcW w:type="dxa" w:w="3137"/>
          </w:tcPr>
          <w:p>
            <w:r>
              <w:rPr>
                <w:sz w:val="18"/>
              </w:rPr>
            </w:r>
            <w:r>
              <w:rPr>
                <w:sz w:val="18"/>
              </w:rPr>
              <w:t>Privacy requests (access, correction, deletion, withdrawal)</w:t>
            </w:r>
          </w:p>
        </w:tc>
        <w:tc>
          <w:tcPr>
            <w:tcW w:type="dxa" w:w="3137"/>
          </w:tcPr>
          <w:p>
            <w:r>
              <w:rPr>
                <w:sz w:val="18"/>
              </w:rPr>
            </w:r>
            <w:r>
              <w:rPr>
                <w:sz w:val="18"/>
              </w:rPr>
              <w:t>Carries out deletions; answers within 14 days (7 for a copy)</w:t>
            </w:r>
          </w:p>
        </w:tc>
        <w:tc>
          <w:tcPr>
            <w:tcW w:type="dxa" w:w="3137"/>
          </w:tcPr>
          <w:p>
            <w:r>
              <w:rPr>
                <w:sz w:val="18"/>
              </w:rPr>
            </w:r>
            <w:r>
              <w:rPr>
                <w:sz w:val="18"/>
              </w:rPr>
              <w:t>Receives and forwards requests the same day; verifies the person's identity and relationship to the child</w:t>
            </w:r>
          </w:p>
        </w:tc>
      </w:tr>
      <w:tr>
        <w:tc>
          <w:tcPr>
            <w:tcW w:type="dxa" w:w="3137"/>
          </w:tcPr>
          <w:p>
            <w:r>
              <w:rPr>
                <w:sz w:val="18"/>
              </w:rPr>
            </w:r>
            <w:r>
              <w:rPr>
                <w:sz w:val="18"/>
              </w:rPr>
              <w:t>Security</w:t>
            </w:r>
          </w:p>
        </w:tc>
        <w:tc>
          <w:tcPr>
            <w:tcW w:type="dxa" w:w="3137"/>
          </w:tcPr>
          <w:p>
            <w:r>
              <w:rPr>
                <w:sz w:val="18"/>
              </w:rPr>
            </w:r>
            <w:r>
              <w:rPr>
                <w:sz w:val="18"/>
              </w:rPr>
              <w:t>Maintains the security program</w:t>
            </w:r>
          </w:p>
        </w:tc>
        <w:tc>
          <w:tcPr>
            <w:tcW w:type="dxa" w:w="3137"/>
          </w:tcPr>
          <w:p>
            <w:r>
              <w:rPr>
                <w:sz w:val="18"/>
              </w:rPr>
            </w:r>
            <w:r>
              <w:rPr>
                <w:sz w:val="18"/>
              </w:rPr>
              <w:t>Protects devices and logins; reports loss or misuse immediately</w:t>
            </w:r>
          </w:p>
        </w:tc>
      </w:tr>
      <w:tr>
        <w:tc>
          <w:tcPr>
            <w:tcW w:type="dxa" w:w="3137"/>
          </w:tcPr>
          <w:p>
            <w:r>
              <w:rPr>
                <w:sz w:val="18"/>
              </w:rPr>
            </w:r>
            <w:r>
              <w:rPr>
                <w:sz w:val="18"/>
              </w:rPr>
              <w:t>Vendors and sending data abroad</w:t>
            </w:r>
          </w:p>
        </w:tc>
        <w:tc>
          <w:tcPr>
            <w:tcW w:type="dxa" w:w="3137"/>
          </w:tcPr>
          <w:p>
            <w:r>
              <w:rPr>
                <w:sz w:val="18"/>
              </w:rPr>
            </w:r>
            <w:r>
              <w:rPr>
                <w:sz w:val="18"/>
              </w:rPr>
              <w:t>Selects vendors; keeps data processing agreements; records the transfer basis</w:t>
            </w:r>
          </w:p>
        </w:tc>
        <w:tc>
          <w:tcPr>
            <w:tcW w:type="dxa" w:w="3137"/>
          </w:tcPr>
          <w:p>
            <w:r>
              <w:rPr>
                <w:sz w:val="18"/>
              </w:rPr>
            </w:r>
            <w:r>
              <w:rPr>
                <w:sz w:val="18"/>
              </w:rPr>
              <w:t>Agrees to the use of the vendors listed in the notice</w:t>
            </w:r>
          </w:p>
        </w:tc>
      </w:tr>
    </w:tbl>
    <w:p/>
    <w:p>
      <w:pPr>
        <w:pStyle w:val="Heading2"/>
      </w:pPr>
      <w:r>
        <w:t>4. Breaches</w:t>
      </w:r>
    </w:p>
    <w:p>
      <w:r>
        <w:t xml:space="preserve">Each party tells the other </w:t>
      </w:r>
      <w:r>
        <w:rPr>
          <w:b/>
        </w:rPr>
        <w:t>without delay and within 24 hours</w:t>
      </w:r>
      <w:r>
        <w:t xml:space="preserve"> of becoming aware of a breach affecting learners' information. The Platform Operator leads the response using its incident runbook and notifies regulators within the legal deadlines (72 hours to the NDPC in Nigeria and the ODPC in Kenya). The Partner helps with notifying families. Each keeps a record of every breach.</w:t>
      </w:r>
    </w:p>
    <w:p>
      <w:pPr>
        <w:pStyle w:val="Heading2"/>
      </w:pPr>
      <w:r>
        <w:t>5. Records and audits</w:t>
      </w:r>
    </w:p>
    <w:p>
      <w:r>
        <w:t xml:space="preserve">The Partner keeps the signed consent forms for as long as the learner has an account plus </w:t>
      </w:r>
      <w:r>
        <w:rPr>
          <w:b/>
        </w:rPr>
        <w:t>[three]</w:t>
      </w:r>
      <w:r>
        <w:t xml:space="preserve"> years. Either party may ask to see the other's relevant records once a year. The Platform Operator may review the Partner's consent files with reasonable notice.</w:t>
      </w:r>
    </w:p>
    <w:p>
      <w:pPr>
        <w:pStyle w:val="Heading2"/>
      </w:pPr>
      <w:r>
        <w:t>6. Deletion and return</w:t>
      </w:r>
    </w:p>
    <w:p>
      <w:r>
        <w:t>On ending the agreement, the Platform Operator deletes the Partner's learners' accounts and files within 30 days unless the law requires keeping them, and the Partner returns or destroys copies of learner information.</w:t>
      </w:r>
    </w:p>
    <w:p>
      <w:pPr>
        <w:pStyle w:val="Heading2"/>
      </w:pPr>
      <w:r>
        <w:t>7. General</w:t>
      </w:r>
    </w:p>
    <w:p>
      <w:r>
        <w:t xml:space="preserve">Term, notice, changes in writing, governing law </w:t>
      </w:r>
      <w:r>
        <w:rPr>
          <w:b/>
        </w:rPr>
        <w:t>[lawyer to choose]</w:t>
      </w:r>
      <w:r>
        <w:t xml:space="preserve">, dispute resolution </w:t>
      </w:r>
      <w:r>
        <w:rPr>
          <w:b/>
        </w:rPr>
        <w:t>[lawyer to choose]</w:t>
      </w:r>
      <w:r>
        <w:t xml:space="preserve">, entire agreement, and cost sharing </w:t>
      </w:r>
      <w:r>
        <w:rPr>
          <w:b/>
        </w:rPr>
        <w:t>[none / describe]</w:t>
      </w:r>
      <w:r>
        <w:t>.</w:t>
      </w:r>
    </w:p>
    <w:p>
      <w:r>
        <w:t>Signed for the Platform Operator: ______________________  Date: __________ Signed for the Partner: ______________________  Date: __________</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nextVillage.community · data responsibilities agreement · draft, not legal advice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