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E"/>
          <w:sz w:val="48"/>
        </w:rPr>
        <w:t>Child safeguarding policy</w:t>
      </w:r>
    </w:p>
    <w:p>
      <w:r>
        <w:rPr>
          <w:i/>
        </w:rPr>
        <w:t>nextVillage.community · 17 October 2026</w:t>
      </w:r>
    </w:p>
    <w:p>
      <w:r>
        <w:rPr>
          <w:b/>
        </w:rPr>
        <w:t>Applies to:</w:t>
      </w:r>
      <w:r>
        <w:t xml:space="preserve"> everyone who works with learners on nextVillage.community or in a partner organization's learning space: platform team, group leaders, mentors, volunteers, visitors, and partner staff.</w:t>
      </w:r>
    </w:p>
    <w:p>
      <w:r>
        <w:rPr>
          <w:b/>
        </w:rPr>
        <w:t>Child safety officer (child-protection lead):</w:t>
      </w:r>
      <w:r>
        <w:t xml:space="preserve"> Confidence Onuoha, +234 806 417 7653 (call or WhatsApp), confidenceonuoha416@gmail.com. </w:t>
      </w:r>
      <w:r>
        <w:rPr>
          <w:b/>
        </w:rPr>
        <w:t>Platform contact:</w:t>
      </w:r>
      <w:r>
        <w:t xml:space="preserve"> Kevin Hallinan, kevin.hallinan@nextVillage.community.</w:t>
      </w:r>
    </w:p>
    <w:p>
      <w:r>
        <w:t>Version 1, 17 October 2026. To be adopted by the child-protection lead and the platform owner, reviewed once a year, and reviewed by a lawyer for each country where we work (see the legal review brief).</w:t>
      </w:r>
    </w:p>
    <w:p>
      <w:r>
        <w:t xml:space="preserve">Every organization we work with must name a </w:t>
      </w:r>
      <w:r>
        <w:rPr>
          <w:b/>
        </w:rPr>
        <w:t>child safety officer</w:t>
      </w:r>
      <w:r>
        <w:t xml:space="preserve"> before any child is enrolled. At the Davidson AI Futures Lab it is Confidence Onuoha. In this policy "child-protection lead" and "child safety officer" mean the same person.</w:t>
      </w:r>
    </w:p>
    <w:p>
      <w:pPr>
        <w:pStyle w:val="Heading2"/>
      </w:pPr>
      <w:r>
        <w:t>1. Why this policy exists</w:t>
      </w:r>
    </w:p>
    <w:p>
      <w:r>
        <w:t>Most learners are under 18, and many are between 8 and 12. We chose to serve young children with strong protections rather than turn them away, so we owe them a clear, written promise about their safety. A child's safety comes before the platform, before a partnership, before reputation, and before anyone's convenience.</w:t>
      </w:r>
    </w:p>
    <w:p>
      <w:pPr>
        <w:pStyle w:val="Heading2"/>
      </w:pPr>
      <w:r>
        <w:t>2. Our commitments</w:t>
      </w:r>
    </w:p>
    <w:p>
      <w:pPr>
        <w:pStyle w:val="ListNumber"/>
      </w:pPr>
      <w:r>
        <w:rPr>
          <w:b/>
        </w:rPr>
        <w:t>Every child's safety and dignity come first.</w:t>
      </w:r>
    </w:p>
    <w:p>
      <w:pPr>
        <w:pStyle w:val="ListNumber"/>
      </w:pPr>
      <w:r>
        <w:rPr>
          <w:b/>
        </w:rPr>
        <w:t>No child is alone with an unvetted adult.</w:t>
      </w:r>
      <w:r>
        <w:t xml:space="preserve"> Online or in person, adult contact with a child happens in the open: in the learning space, in a group, or with a guardian aware.</w:t>
      </w:r>
    </w:p>
    <w:p>
      <w:pPr>
        <w:pStyle w:val="ListNumber"/>
      </w:pPr>
      <w:r>
        <w:rPr>
          <w:b/>
        </w:rPr>
        <w:t>Concerns are always taken seriously and always passed on.</w:t>
      </w:r>
      <w:r>
        <w:t xml:space="preserve"> Nobody investigates alone, and nobody promises a child to keep a secret.</w:t>
      </w:r>
    </w:p>
    <w:p>
      <w:pPr>
        <w:pStyle w:val="ListNumber"/>
      </w:pPr>
      <w:r>
        <w:rPr>
          <w:b/>
        </w:rPr>
        <w:t>A child who speaks up is protected, not blamed.</w:t>
      </w:r>
      <w:r>
        <w:t xml:space="preserve"> Reporting in good faith never leads to punishment.</w:t>
      </w:r>
    </w:p>
    <w:p>
      <w:pPr>
        <w:pStyle w:val="ListNumber"/>
      </w:pPr>
      <w:r>
        <w:rPr>
          <w:b/>
        </w:rPr>
        <w:t>We keep children's information private.</w:t>
      </w:r>
      <w:r>
        <w:t xml:space="preserve"> See the data handling commitment.</w:t>
      </w:r>
    </w:p>
    <w:p>
      <w:pPr>
        <w:pStyle w:val="ListNumber"/>
      </w:pPr>
      <w:r>
        <w:rPr>
          <w:b/>
        </w:rPr>
        <w:t>We act the same way in every country.</w:t>
      </w:r>
      <w:r>
        <w:t xml:space="preserve"> Local law may add duties; it never reduces them.</w:t>
      </w:r>
    </w:p>
    <w:p>
      <w:pPr>
        <w:pStyle w:val="Heading2"/>
      </w:pPr>
      <w:r>
        <w:t>3. What counts as a concern</w:t>
      </w:r>
    </w:p>
    <w:p>
      <w:r>
        <w:t>Treat any of these as a concern, even if you are not sure:</w:t>
      </w:r>
    </w:p>
    <w:p>
      <w:pPr>
        <w:pStyle w:val="ListBullet"/>
      </w:pPr>
      <w:r>
        <w:rPr>
          <w:b/>
        </w:rPr>
        <w:t>Abuse or neglect:</w:t>
      </w:r>
      <w:r>
        <w:t xml:space="preserve"> physical harm, sexual contact or talk, emotional cruelty, a child who is hungry, unwell or unsafe at home, or marks that are not explained.</w:t>
      </w:r>
    </w:p>
    <w:p>
      <w:pPr>
        <w:pStyle w:val="ListBullet"/>
      </w:pPr>
      <w:r>
        <w:rPr>
          <w:b/>
        </w:rPr>
        <w:t>A child in danger or distress:</w:t>
      </w:r>
      <w:r>
        <w:t xml:space="preserve"> talk of self-harm or suicide, fear of someone, running away, being forced to work or to marry.</w:t>
      </w:r>
    </w:p>
    <w:p>
      <w:pPr>
        <w:pStyle w:val="ListBullet"/>
      </w:pPr>
      <w:r>
        <w:rPr>
          <w:b/>
        </w:rPr>
        <w:t>Harm between children:</w:t>
      </w:r>
      <w:r>
        <w:t xml:space="preserve"> bullying, threats, sexual behaviour, harassment online or in person.</w:t>
      </w:r>
    </w:p>
    <w:p>
      <w:pPr>
        <w:pStyle w:val="ListBullet"/>
      </w:pPr>
      <w:r>
        <w:rPr>
          <w:b/>
        </w:rPr>
        <w:t>Concerning adult behaviour:</w:t>
      </w:r>
      <w:r>
        <w:t xml:space="preserve"> gifts or favours to one child, private messages, asking for photos, meeting a child alone, asking a child to keep a secret, or any breach of the code of conduct.</w:t>
      </w:r>
    </w:p>
    <w:p>
      <w:pPr>
        <w:pStyle w:val="ListBullet"/>
      </w:pPr>
      <w:r>
        <w:rPr>
          <w:b/>
        </w:rPr>
        <w:t>Online risk:</w:t>
      </w:r>
      <w:r>
        <w:t xml:space="preserve"> a stranger contacting a learner, a child shown unsuitable material, a child sharing personal details or photos.</w:t>
      </w:r>
    </w:p>
    <w:p>
      <w:pPr>
        <w:pStyle w:val="ListBullet"/>
      </w:pPr>
      <w:r>
        <w:rPr>
          <w:b/>
        </w:rPr>
        <w:t>Something a child says or writes</w:t>
      </w:r>
      <w:r>
        <w:t xml:space="preserve"> to the AI or to a person that makes you worry.</w:t>
      </w:r>
    </w:p>
    <w:p>
      <w:pPr>
        <w:pStyle w:val="Heading2"/>
      </w:pPr>
      <w:r>
        <w:t>4. How the platform helps</w:t>
      </w:r>
    </w:p>
    <w:p>
      <w:r>
        <w:t>The platform has built-in protections (described in full in the AI safety document):</w:t>
      </w:r>
    </w:p>
    <w:p>
      <w:pPr>
        <w:pStyle w:val="ListBullet"/>
      </w:pPr>
      <w:r>
        <w:t>Every message to the AI is checked by a separate safety classifier. If it sees signs of self-harm, threats to others, or hateful content, an email goes to the learner's group leaders and to a platform fallback address, with the message and the time. A person must follow up; the alert is not a diagnosis.</w:t>
      </w:r>
    </w:p>
    <w:p>
      <w:pPr>
        <w:pStyle w:val="ListBullet"/>
      </w:pPr>
      <w:r>
        <w:t>Learners under 13 have no peer chat unless their organization turns it on, their names and photos are hidden from others, and their requests go only to our main reviewed AI provider.</w:t>
      </w:r>
    </w:p>
    <w:p>
      <w:pPr>
        <w:pStyle w:val="ListBullet"/>
      </w:pPr>
      <w:r>
        <w:t>Personal details (phone numbers, emails, addresses, school names, other people's names) are removed from messages before they are sent on to the AI.</w:t>
      </w:r>
    </w:p>
    <w:p>
      <w:pPr>
        <w:pStyle w:val="ListBullet"/>
      </w:pPr>
      <w:r>
        <w:t>Guardian consent is recorded for every learner under 18. Leaders record the signed forms, and the leader dashboard shows which learners are still missing one.</w:t>
      </w:r>
    </w:p>
    <w:p>
      <w:r>
        <w:t xml:space="preserve">The platform is a help, not a guarantee. It can miss things. </w:t>
      </w:r>
      <w:r>
        <w:rPr>
          <w:b/>
        </w:rPr>
        <w:t>People are the main protection.</w:t>
      </w:r>
    </w:p>
    <w:p>
      <w:pPr>
        <w:pStyle w:val="Heading2"/>
      </w:pPr>
      <w:r>
        <w:t>5. What to do: the four steps</w:t>
      </w:r>
    </w:p>
    <w:p>
      <w:r>
        <w:rPr>
          <w:b/>
        </w:rPr>
        <w:t>1. Make the child safe.</w:t>
      </w:r>
      <w:r>
        <w:t xml:space="preserve"> If a child is in immediate danger, get them to safety and call local emergency services first. Do not wait to tell anyone else.</w:t>
      </w:r>
    </w:p>
    <w:p>
      <w:r>
        <w:rPr>
          <w:b/>
        </w:rPr>
        <w:t>2. Listen, then record.</w:t>
      </w:r>
      <w:r>
        <w:t xml:space="preserve"> If a child tells you something:</w:t>
      </w:r>
    </w:p>
    <w:p>
      <w:pPr>
        <w:pStyle w:val="ListBullet"/>
      </w:pPr>
      <w:r>
        <w:t>Stay calm. Listen. Let them speak in their own words.</w:t>
      </w:r>
    </w:p>
    <w:p>
      <w:pPr>
        <w:pStyle w:val="ListBullet"/>
      </w:pPr>
      <w:r>
        <w:t>Do not ask leading questions or press for detail. Do not promise to keep it secret; say you must tell someone whose job is to keep them safe.</w:t>
      </w:r>
    </w:p>
    <w:p>
      <w:pPr>
        <w:pStyle w:val="ListBullet"/>
      </w:pPr>
      <w:r>
        <w:t>Write down what was said, the date and time, and what you saw, using the child's words. Do not investigate or confront anyone.</w:t>
      </w:r>
    </w:p>
    <w:p>
      <w:r>
        <w:rPr>
          <w:b/>
        </w:rPr>
        <w:t>3. Report the same day.</w:t>
      </w:r>
      <w:r>
        <w:t xml:space="preserve"> Tell the child-protection lead (Confidence) by phone or WhatsApp and then send a short written note. If the concern is about Confidence, or she cannot be reached within a few hours, contact the platform owner. If the concern is about the platform owner, contact Confidence.</w:t>
      </w:r>
    </w:p>
    <w:p>
      <w:r>
        <w:rPr>
          <w:b/>
        </w:rPr>
        <w:t>4. Follow up.</w:t>
      </w:r>
      <w:r>
        <w:t xml:space="preserve"> The lead decides with the organization's leader what happens next, including whether to contact the child's guardian, the local child-protection authority, social welfare office, or police. The lead records the decision and reviews the outcome. The person who reported is told it has been dealt with, as far as confidentiality allows.</w:t>
      </w:r>
    </w:p>
    <w:p>
      <w:pPr>
        <w:pStyle w:val="Heading3"/>
      </w:pPr>
      <w:r>
        <w:t>Response times we aim for</w:t>
      </w:r>
    </w:p>
    <w:tbl>
      <w:tblPr>
        <w:tblStyle w:val="TableGrid"/>
        <w:tblW w:type="auto" w:w="0"/>
        <w:tblLook w:firstColumn="1" w:firstRow="1" w:lastColumn="0" w:lastRow="0" w:noHBand="0" w:noVBand="1" w:val="04A0"/>
      </w:tblPr>
      <w:tblGrid>
        <w:gridCol w:w="4706"/>
        <w:gridCol w:w="4706"/>
      </w:tblGrid>
      <w:tr>
        <w:tc>
          <w:tcPr>
            <w:tcW w:type="dxa" w:w="4706"/>
            <w:shd w:val="clear" w:color="auto" w:fill="E3EBF4"/>
          </w:tcPr>
          <w:p>
            <w:r>
              <w:rPr>
                <w:b/>
                <w:sz w:val="18"/>
              </w:rPr>
            </w:r>
            <w:r>
              <w:rPr>
                <w:b/>
                <w:sz w:val="18"/>
              </w:rPr>
              <w:t>Situation</w:t>
            </w:r>
          </w:p>
        </w:tc>
        <w:tc>
          <w:tcPr>
            <w:tcW w:type="dxa" w:w="4706"/>
            <w:shd w:val="clear" w:color="auto" w:fill="E3EBF4"/>
          </w:tcPr>
          <w:p>
            <w:r>
              <w:rPr>
                <w:b/>
                <w:sz w:val="18"/>
              </w:rPr>
            </w:r>
            <w:r>
              <w:rPr>
                <w:b/>
                <w:sz w:val="18"/>
              </w:rPr>
              <w:t>Aim</w:t>
            </w:r>
          </w:p>
        </w:tc>
      </w:tr>
      <w:tr>
        <w:tc>
          <w:tcPr>
            <w:tcW w:type="dxa" w:w="4706"/>
          </w:tcPr>
          <w:p>
            <w:r>
              <w:rPr>
                <w:sz w:val="18"/>
              </w:rPr>
            </w:r>
            <w:r>
              <w:rPr>
                <w:sz w:val="18"/>
              </w:rPr>
              <w:t>Child in immediate danger</w:t>
            </w:r>
          </w:p>
        </w:tc>
        <w:tc>
          <w:tcPr>
            <w:tcW w:type="dxa" w:w="4706"/>
          </w:tcPr>
          <w:p>
            <w:r>
              <w:rPr>
                <w:sz w:val="18"/>
              </w:rPr>
            </w:r>
            <w:r>
              <w:rPr>
                <w:sz w:val="18"/>
              </w:rPr>
              <w:t>Emergency services and the lead at once</w:t>
            </w:r>
          </w:p>
        </w:tc>
      </w:tr>
      <w:tr>
        <w:tc>
          <w:tcPr>
            <w:tcW w:type="dxa" w:w="4706"/>
          </w:tcPr>
          <w:p>
            <w:r>
              <w:rPr>
                <w:sz w:val="18"/>
              </w:rPr>
            </w:r>
            <w:r>
              <w:rPr>
                <w:sz w:val="18"/>
              </w:rPr>
              <w:t>Serious concern (abuse, self-harm risk)</w:t>
            </w:r>
          </w:p>
        </w:tc>
        <w:tc>
          <w:tcPr>
            <w:tcW w:type="dxa" w:w="4706"/>
          </w:tcPr>
          <w:p>
            <w:r>
              <w:rPr>
                <w:sz w:val="18"/>
              </w:rPr>
            </w:r>
            <w:r>
              <w:rPr>
                <w:sz w:val="18"/>
              </w:rPr>
              <w:t>Lead informed the same day; action decided within 24 hours</w:t>
            </w:r>
          </w:p>
        </w:tc>
      </w:tr>
      <w:tr>
        <w:tc>
          <w:tcPr>
            <w:tcW w:type="dxa" w:w="4706"/>
          </w:tcPr>
          <w:p>
            <w:r>
              <w:rPr>
                <w:sz w:val="18"/>
              </w:rPr>
            </w:r>
            <w:r>
              <w:rPr>
                <w:sz w:val="18"/>
              </w:rPr>
              <w:t>Other concern</w:t>
            </w:r>
          </w:p>
        </w:tc>
        <w:tc>
          <w:tcPr>
            <w:tcW w:type="dxa" w:w="4706"/>
          </w:tcPr>
          <w:p>
            <w:r>
              <w:rPr>
                <w:sz w:val="18"/>
              </w:rPr>
            </w:r>
            <w:r>
              <w:rPr>
                <w:sz w:val="18"/>
              </w:rPr>
              <w:t>Lead informed within 2 days; decision within a week</w:t>
            </w:r>
          </w:p>
        </w:tc>
      </w:tr>
      <w:tr>
        <w:tc>
          <w:tcPr>
            <w:tcW w:type="dxa" w:w="4706"/>
          </w:tcPr>
          <w:p>
            <w:r>
              <w:rPr>
                <w:sz w:val="18"/>
              </w:rPr>
            </w:r>
            <w:r>
              <w:rPr>
                <w:sz w:val="18"/>
              </w:rPr>
              <w:t>Platform safety alert (email)</w:t>
            </w:r>
          </w:p>
        </w:tc>
        <w:tc>
          <w:tcPr>
            <w:tcW w:type="dxa" w:w="4706"/>
          </w:tcPr>
          <w:p>
            <w:r>
              <w:rPr>
                <w:sz w:val="18"/>
              </w:rPr>
            </w:r>
            <w:r>
              <w:rPr>
                <w:sz w:val="18"/>
              </w:rPr>
              <w:t>Leader looks at it the same day it arrives</w:t>
            </w:r>
          </w:p>
        </w:tc>
      </w:tr>
    </w:tbl>
    <w:p/>
    <w:p>
      <w:pPr>
        <w:pStyle w:val="Heading2"/>
      </w:pPr>
      <w:r>
        <w:t>6. Safety alerts from the platform</w:t>
      </w:r>
    </w:p>
    <w:p>
      <w:r>
        <w:t>When a leader receives a safety alert email:</w:t>
      </w:r>
    </w:p>
    <w:p>
      <w:pPr>
        <w:pStyle w:val="ListNumber"/>
      </w:pPr>
      <w:r>
        <w:t>Read it the same day. It shows the learner's name, the page, the time, and the flagged message.</w:t>
      </w:r>
    </w:p>
    <w:p>
      <w:pPr>
        <w:pStyle w:val="ListNumber"/>
      </w:pPr>
      <w:r>
        <w:t xml:space="preserve">Talk to the learner </w:t>
      </w:r>
      <w:r>
        <w:rPr>
          <w:b/>
        </w:rPr>
        <w:t>in person</w:t>
      </w:r>
      <w:r>
        <w:t>, privately but where others can see you, kindly and without blame. The classifier can be wrong; many flags are jokes or misunderstandings.</w:t>
      </w:r>
    </w:p>
    <w:p>
      <w:pPr>
        <w:pStyle w:val="ListNumber"/>
      </w:pPr>
      <w:r>
        <w:t>If you find a real concern, follow section 5. If it was a misunderstanding, note that and move on.</w:t>
      </w:r>
    </w:p>
    <w:p>
      <w:pPr>
        <w:pStyle w:val="ListNumber"/>
      </w:pPr>
      <w:r>
        <w:t>Tell the child-protection lead about every alert that was a real concern, and about any alert you could not act on.</w:t>
      </w:r>
    </w:p>
    <w:p>
      <w:r>
        <w:t>If an alert email never arrives at a leader's inbox, tell the platform team at once; that is a gap in the safety net.</w:t>
      </w:r>
    </w:p>
    <w:p>
      <w:pPr>
        <w:pStyle w:val="Heading2"/>
      </w:pPr>
      <w:r>
        <w:t>7. Confidentiality</w:t>
      </w:r>
    </w:p>
    <w:p>
      <w:pPr>
        <w:pStyle w:val="ListBullet"/>
      </w:pPr>
      <w:r>
        <w:t>Share only with people who need to know to keep the child safe.</w:t>
      </w:r>
    </w:p>
    <w:p>
      <w:pPr>
        <w:pStyle w:val="ListBullet"/>
      </w:pPr>
      <w:r>
        <w:t>Never discuss a concern on social media or in a group chat.</w:t>
      </w:r>
    </w:p>
    <w:p>
      <w:pPr>
        <w:pStyle w:val="ListBullet"/>
      </w:pPr>
      <w:r>
        <w:t>Keep written records in a private place with limited access, and keep them as long as the lead decides is needed for the child's protection and any legal duty.</w:t>
      </w:r>
    </w:p>
    <w:p>
      <w:pPr>
        <w:pStyle w:val="ListBullet"/>
      </w:pPr>
      <w:r>
        <w:t>Never publish a child's name, photo, voice or story without the guardian's written permission (see the video and photo releases).</w:t>
      </w:r>
    </w:p>
    <w:p>
      <w:pPr>
        <w:pStyle w:val="Heading2"/>
      </w:pPr>
      <w:r>
        <w:t>8. Photos, video and public stories</w:t>
      </w:r>
    </w:p>
    <w:p>
      <w:r>
        <w:t>Public pages show children only with specific written permission from a parent or guardian, for the specific photo or video. Anyone can ask for it to be taken down and it will be removed without argument. Do not photograph children for personal use or post them on personal accounts.</w:t>
      </w:r>
    </w:p>
    <w:p>
      <w:pPr>
        <w:pStyle w:val="Heading2"/>
      </w:pPr>
      <w:r>
        <w:t>9. Recruiting and vetting adults</w:t>
      </w:r>
    </w:p>
    <w:p>
      <w:pPr>
        <w:pStyle w:val="ListBullet"/>
      </w:pPr>
      <w:r>
        <w:t xml:space="preserve">Every leader, mentor and volunteer who works with learners signs the </w:t>
      </w:r>
      <w:r>
        <w:rPr>
          <w:b/>
        </w:rPr>
        <w:t>code of conduct</w:t>
      </w:r>
      <w:r>
        <w:t xml:space="preserve"> before starting.</w:t>
      </w:r>
    </w:p>
    <w:p>
      <w:pPr>
        <w:pStyle w:val="ListBullet"/>
      </w:pPr>
      <w:r>
        <w:t>The partner organization checks the person's background in the way local law and custom allow, and gives us the name of the person who vouches for them.</w:t>
      </w:r>
    </w:p>
    <w:p>
      <w:pPr>
        <w:pStyle w:val="ListBullet"/>
      </w:pPr>
      <w:r>
        <w:t>New adults work alongside an experienced leader for their first sessions.</w:t>
      </w:r>
    </w:p>
    <w:p>
      <w:pPr>
        <w:pStyle w:val="ListBullet"/>
      </w:pPr>
      <w:r>
        <w:t>Visitors are never alone with learners.</w:t>
      </w:r>
    </w:p>
    <w:p>
      <w:pPr>
        <w:pStyle w:val="Heading2"/>
      </w:pPr>
      <w:r>
        <w:t>10. If a concern is about an adult in the team</w:t>
      </w:r>
    </w:p>
    <w:p>
      <w:r>
        <w:t>Report it exactly as in section 5. The adult steps aside from contact with learners while the matter is looked into. Reporting is a duty, and it is never a betrayal. Deliberately hiding a concern is itself a breach of this policy.</w:t>
      </w:r>
    </w:p>
    <w:p>
      <w:pPr>
        <w:pStyle w:val="Heading2"/>
      </w:pPr>
      <w:r>
        <w:t>11. Training and review</w:t>
      </w:r>
    </w:p>
    <w:p>
      <w:pPr>
        <w:pStyle w:val="ListBullet"/>
      </w:pPr>
      <w:r>
        <w:t>Every leader completes the leader training and signs off before supervising learners.</w:t>
      </w:r>
    </w:p>
    <w:p>
      <w:pPr>
        <w:pStyle w:val="ListBullet"/>
      </w:pPr>
      <w:r>
        <w:t>The lead refreshes the training each year and after any serious incident.</w:t>
      </w:r>
    </w:p>
    <w:p>
      <w:pPr>
        <w:pStyle w:val="ListBullet"/>
      </w:pPr>
      <w:r>
        <w:t>This policy is reviewed once a year, and after any incident that showed a gap. Changes follow the change process, and a change to safeguarding is a tier C change.</w:t>
      </w:r>
    </w:p>
    <w:p>
      <w:pPr>
        <w:pStyle w:val="Heading2"/>
      </w:pPr>
      <w:r>
        <w:t>Schedule A: local contacts (each partner completes before enrolling children)</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3EBF4"/>
          </w:tcPr>
          <w:p>
            <w:r>
              <w:rPr>
                <w:b/>
                <w:sz w:val="18"/>
              </w:rPr>
            </w:r>
            <w:r>
              <w:rPr>
                <w:b/>
                <w:sz w:val="18"/>
              </w:rPr>
              <w:t>Contact</w:t>
            </w:r>
          </w:p>
        </w:tc>
        <w:tc>
          <w:tcPr>
            <w:tcW w:type="dxa" w:w="2353"/>
            <w:shd w:val="clear" w:color="auto" w:fill="E3EBF4"/>
          </w:tcPr>
          <w:p>
            <w:r>
              <w:rPr>
                <w:b/>
                <w:sz w:val="18"/>
              </w:rPr>
            </w:r>
            <w:r>
              <w:rPr>
                <w:b/>
                <w:sz w:val="18"/>
              </w:rPr>
              <w:t>Name</w:t>
            </w:r>
          </w:p>
        </w:tc>
        <w:tc>
          <w:tcPr>
            <w:tcW w:type="dxa" w:w="2353"/>
            <w:shd w:val="clear" w:color="auto" w:fill="E3EBF4"/>
          </w:tcPr>
          <w:p>
            <w:r>
              <w:rPr>
                <w:b/>
                <w:sz w:val="18"/>
              </w:rPr>
            </w:r>
            <w:r>
              <w:rPr>
                <w:b/>
                <w:sz w:val="18"/>
              </w:rPr>
              <w:t>Phone</w:t>
            </w:r>
          </w:p>
        </w:tc>
        <w:tc>
          <w:tcPr>
            <w:tcW w:type="dxa" w:w="2353"/>
            <w:shd w:val="clear" w:color="auto" w:fill="E3EBF4"/>
          </w:tcPr>
          <w:p>
            <w:r>
              <w:rPr>
                <w:b/>
                <w:sz w:val="18"/>
              </w:rPr>
            </w:r>
            <w:r>
              <w:rPr>
                <w:b/>
                <w:sz w:val="18"/>
              </w:rPr>
              <w:t>Notes</w:t>
            </w:r>
          </w:p>
        </w:tc>
      </w:tr>
      <w:tr>
        <w:tc>
          <w:tcPr>
            <w:tcW w:type="dxa" w:w="2353"/>
          </w:tcPr>
          <w:p>
            <w:r>
              <w:rPr>
                <w:sz w:val="18"/>
              </w:rPr>
            </w:r>
            <w:r>
              <w:rPr>
                <w:sz w:val="18"/>
              </w:rPr>
              <w:t>Organization's child safety officer (required)</w:t>
            </w:r>
          </w:p>
        </w:tc>
        <w:tc>
          <w:tcPr>
            <w:tcW w:type="dxa" w:w="2353"/>
          </w:tcPr>
          <w:p>
            <w:r>
              <w:rPr>
                <w:sz w:val="18"/>
              </w:rPr>
            </w:r>
          </w:p>
        </w:tc>
        <w:tc>
          <w:tcPr>
            <w:tcW w:type="dxa" w:w="2353"/>
          </w:tcPr>
          <w:p>
            <w:r>
              <w:rPr>
                <w:sz w:val="18"/>
              </w:rPr>
            </w:r>
          </w:p>
        </w:tc>
        <w:tc>
          <w:tcPr>
            <w:tcW w:type="dxa" w:w="2353"/>
          </w:tcPr>
          <w:p>
            <w:r>
              <w:rPr>
                <w:sz w:val="18"/>
              </w:rPr>
            </w:r>
          </w:p>
        </w:tc>
      </w:tr>
      <w:tr>
        <w:tc>
          <w:tcPr>
            <w:tcW w:type="dxa" w:w="2353"/>
          </w:tcPr>
          <w:p>
            <w:r>
              <w:rPr>
                <w:sz w:val="18"/>
              </w:rPr>
            </w:r>
            <w:r>
              <w:rPr>
                <w:sz w:val="18"/>
              </w:rPr>
              <w:t>Deputy child safety officer</w:t>
            </w:r>
          </w:p>
        </w:tc>
        <w:tc>
          <w:tcPr>
            <w:tcW w:type="dxa" w:w="2353"/>
          </w:tcPr>
          <w:p>
            <w:r>
              <w:rPr>
                <w:sz w:val="18"/>
              </w:rPr>
            </w:r>
          </w:p>
        </w:tc>
        <w:tc>
          <w:tcPr>
            <w:tcW w:type="dxa" w:w="2353"/>
          </w:tcPr>
          <w:p>
            <w:r>
              <w:rPr>
                <w:sz w:val="18"/>
              </w:rPr>
            </w:r>
          </w:p>
        </w:tc>
        <w:tc>
          <w:tcPr>
            <w:tcW w:type="dxa" w:w="2353"/>
          </w:tcPr>
          <w:p>
            <w:r>
              <w:rPr>
                <w:sz w:val="18"/>
              </w:rPr>
            </w:r>
          </w:p>
        </w:tc>
      </w:tr>
      <w:tr>
        <w:tc>
          <w:tcPr>
            <w:tcW w:type="dxa" w:w="2353"/>
          </w:tcPr>
          <w:p>
            <w:r>
              <w:rPr>
                <w:sz w:val="18"/>
              </w:rPr>
            </w:r>
            <w:r>
              <w:rPr>
                <w:sz w:val="18"/>
              </w:rPr>
              <w:t>Local police</w:t>
            </w:r>
          </w:p>
        </w:tc>
        <w:tc>
          <w:tcPr>
            <w:tcW w:type="dxa" w:w="2353"/>
          </w:tcPr>
          <w:p>
            <w:r>
              <w:rPr>
                <w:sz w:val="18"/>
              </w:rPr>
            </w:r>
          </w:p>
        </w:tc>
        <w:tc>
          <w:tcPr>
            <w:tcW w:type="dxa" w:w="2353"/>
          </w:tcPr>
          <w:p>
            <w:r>
              <w:rPr>
                <w:sz w:val="18"/>
              </w:rPr>
            </w:r>
          </w:p>
        </w:tc>
        <w:tc>
          <w:tcPr>
            <w:tcW w:type="dxa" w:w="2353"/>
          </w:tcPr>
          <w:p>
            <w:r>
              <w:rPr>
                <w:sz w:val="18"/>
              </w:rPr>
            </w:r>
          </w:p>
        </w:tc>
      </w:tr>
      <w:tr>
        <w:tc>
          <w:tcPr>
            <w:tcW w:type="dxa" w:w="2353"/>
          </w:tcPr>
          <w:p>
            <w:r>
              <w:rPr>
                <w:sz w:val="18"/>
              </w:rPr>
            </w:r>
            <w:r>
              <w:rPr>
                <w:sz w:val="18"/>
              </w:rPr>
              <w:t>Local social welfare / child-protection office</w:t>
            </w:r>
          </w:p>
        </w:tc>
        <w:tc>
          <w:tcPr>
            <w:tcW w:type="dxa" w:w="2353"/>
          </w:tcPr>
          <w:p>
            <w:r>
              <w:rPr>
                <w:sz w:val="18"/>
              </w:rPr>
            </w:r>
          </w:p>
        </w:tc>
        <w:tc>
          <w:tcPr>
            <w:tcW w:type="dxa" w:w="2353"/>
          </w:tcPr>
          <w:p>
            <w:r>
              <w:rPr>
                <w:sz w:val="18"/>
              </w:rPr>
            </w:r>
          </w:p>
        </w:tc>
        <w:tc>
          <w:tcPr>
            <w:tcW w:type="dxa" w:w="2353"/>
          </w:tcPr>
          <w:p>
            <w:r>
              <w:rPr>
                <w:sz w:val="18"/>
              </w:rPr>
            </w:r>
          </w:p>
        </w:tc>
      </w:tr>
      <w:tr>
        <w:tc>
          <w:tcPr>
            <w:tcW w:type="dxa" w:w="2353"/>
          </w:tcPr>
          <w:p>
            <w:r>
              <w:rPr>
                <w:sz w:val="18"/>
              </w:rPr>
            </w:r>
            <w:r>
              <w:rPr>
                <w:sz w:val="18"/>
              </w:rPr>
              <w:t>Local health clinic or hospital</w:t>
            </w:r>
          </w:p>
        </w:tc>
        <w:tc>
          <w:tcPr>
            <w:tcW w:type="dxa" w:w="2353"/>
          </w:tcPr>
          <w:p>
            <w:r>
              <w:rPr>
                <w:sz w:val="18"/>
              </w:rPr>
            </w:r>
          </w:p>
        </w:tc>
        <w:tc>
          <w:tcPr>
            <w:tcW w:type="dxa" w:w="2353"/>
          </w:tcPr>
          <w:p>
            <w:r>
              <w:rPr>
                <w:sz w:val="18"/>
              </w:rPr>
            </w:r>
          </w:p>
        </w:tc>
        <w:tc>
          <w:tcPr>
            <w:tcW w:type="dxa" w:w="2353"/>
          </w:tcPr>
          <w:p>
            <w:r>
              <w:rPr>
                <w:sz w:val="18"/>
              </w:rPr>
            </w:r>
          </w:p>
        </w:tc>
      </w:tr>
      <w:tr>
        <w:tc>
          <w:tcPr>
            <w:tcW w:type="dxa" w:w="2353"/>
          </w:tcPr>
          <w:p>
            <w:r>
              <w:rPr>
                <w:sz w:val="18"/>
              </w:rPr>
            </w:r>
            <w:r>
              <w:rPr>
                <w:sz w:val="18"/>
              </w:rPr>
              <w:t>National child helpline (if there is one)</w:t>
            </w:r>
          </w:p>
        </w:tc>
        <w:tc>
          <w:tcPr>
            <w:tcW w:type="dxa" w:w="2353"/>
          </w:tcPr>
          <w:p>
            <w:r>
              <w:rPr>
                <w:sz w:val="18"/>
              </w:rPr>
            </w:r>
          </w:p>
        </w:tc>
        <w:tc>
          <w:tcPr>
            <w:tcW w:type="dxa" w:w="2353"/>
          </w:tcPr>
          <w:p>
            <w:r>
              <w:rPr>
                <w:sz w:val="18"/>
              </w:rPr>
            </w:r>
          </w:p>
        </w:tc>
        <w:tc>
          <w:tcPr>
            <w:tcW w:type="dxa" w:w="2353"/>
          </w:tcPr>
          <w:p>
            <w:r>
              <w:rPr>
                <w:sz w:val="18"/>
              </w:rPr>
            </w:r>
          </w:p>
        </w:tc>
      </w:tr>
      <w:tr>
        <w:tc>
          <w:tcPr>
            <w:tcW w:type="dxa" w:w="2353"/>
          </w:tcPr>
          <w:p>
            <w:r>
              <w:rPr>
                <w:sz w:val="18"/>
              </w:rPr>
            </w:r>
            <w:r>
              <w:rPr>
                <w:sz w:val="18"/>
              </w:rPr>
              <w:t>Trusted local religious or community elder (optional)</w:t>
            </w:r>
          </w:p>
        </w:tc>
        <w:tc>
          <w:tcPr>
            <w:tcW w:type="dxa" w:w="2353"/>
          </w:tcPr>
          <w:p>
            <w:r>
              <w:rPr>
                <w:sz w:val="18"/>
              </w:rPr>
            </w:r>
          </w:p>
        </w:tc>
        <w:tc>
          <w:tcPr>
            <w:tcW w:type="dxa" w:w="2353"/>
          </w:tcPr>
          <w:p>
            <w:r>
              <w:rPr>
                <w:sz w:val="18"/>
              </w:rPr>
            </w:r>
          </w:p>
        </w:tc>
        <w:tc>
          <w:tcPr>
            <w:tcW w:type="dxa" w:w="2353"/>
          </w:tcPr>
          <w:p>
            <w:r>
              <w:rPr>
                <w:sz w:val="18"/>
              </w:rPr>
            </w:r>
          </w:p>
        </w:tc>
      </w:tr>
    </w:tbl>
    <w:p/>
    <w:p>
      <w:r>
        <w:t>The lead keeps a copy and checks the numbers work twice a year.</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nextVillage.community · Child safeguarding policy · draft, not legal advice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