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Impact and outcomes summary</w:t>
      </w:r>
    </w:p>
    <w:p>
      <w:r>
        <w:rPr>
          <w:i/>
        </w:rPr>
        <w:t>nextVillage.community · 17 October 2026</w:t>
      </w:r>
    </w:p>
    <w:p>
      <w:r>
        <w:rPr>
          <w:b/>
        </w:rPr>
        <w:t>nextVillage.community</w:t>
      </w:r>
      <w:r>
        <w:t xml:space="preserve"> · figures as of 17 October 2026 · for partners, funders and the public</w:t>
      </w:r>
    </w:p>
    <w:p>
      <w:r>
        <w:t>This summary says what the data supports, what it does not, and how we are strengthening it. The landing page shows the same headline numbers live; this document adds the detail and the cautions. Staff and test accounts are excluded throughout.</w:t>
      </w:r>
    </w:p>
    <w:p>
      <w:pPr>
        <w:pStyle w:val="Heading2"/>
      </w:pPr>
      <w:r>
        <w:t>1. The programme in one paragraph</w:t>
      </w:r>
    </w:p>
    <w:p>
      <w:r>
        <w:t>nextVillage gives young people in rural and under-served communities a patient AI tutor, a path of certifications, and a way to use what they learn to help real people near them. Learners are mostly teenagers, with some children from age 8. The largest group is at the Davidson AI Futures Lab in Oloibiri, Bayelsa State, Nigeria; others are in Kenya (Maji Mazuri), Ghana (Open Mind Africa, joining), and a small group in Dayton, Ohio.</w:t>
      </w:r>
    </w:p>
    <w:p>
      <w:pPr>
        <w:pStyle w:val="Heading2"/>
      </w:pPr>
      <w:r>
        <w:t>2. Who has taken part</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Measure</w:t>
            </w:r>
          </w:p>
        </w:tc>
        <w:tc>
          <w:tcPr>
            <w:tcW w:type="dxa" w:w="4706"/>
            <w:shd w:val="clear" w:color="auto" w:fill="E3EBF4"/>
          </w:tcPr>
          <w:p>
            <w:r>
              <w:rPr>
                <w:b/>
                <w:sz w:val="18"/>
              </w:rPr>
            </w:r>
            <w:r>
              <w:rPr>
                <w:b/>
                <w:sz w:val="18"/>
              </w:rPr>
              <w:t>Figure</w:t>
            </w:r>
          </w:p>
        </w:tc>
      </w:tr>
      <w:tr>
        <w:tc>
          <w:tcPr>
            <w:tcW w:type="dxa" w:w="4706"/>
          </w:tcPr>
          <w:p>
            <w:r>
              <w:rPr>
                <w:sz w:val="18"/>
              </w:rPr>
            </w:r>
            <w:r>
              <w:rPr>
                <w:sz w:val="18"/>
              </w:rPr>
              <w:t>Learners enrolled (approved students and learners)</w:t>
            </w:r>
          </w:p>
        </w:tc>
        <w:tc>
          <w:tcPr>
            <w:tcW w:type="dxa" w:w="4706"/>
          </w:tcPr>
          <w:p>
            <w:r>
              <w:rPr>
                <w:sz w:val="18"/>
              </w:rPr>
            </w:r>
            <w:r>
              <w:rPr>
                <w:sz w:val="18"/>
              </w:rPr>
              <w:t>133</w:t>
            </w:r>
          </w:p>
        </w:tc>
      </w:tr>
      <w:tr>
        <w:tc>
          <w:tcPr>
            <w:tcW w:type="dxa" w:w="4706"/>
          </w:tcPr>
          <w:p>
            <w:r>
              <w:rPr>
                <w:sz w:val="18"/>
              </w:rPr>
            </w:r>
            <w:r>
              <w:rPr>
                <w:sz w:val="18"/>
              </w:rPr>
              <w:t>Learners who have started at least one session</w:t>
            </w:r>
          </w:p>
        </w:tc>
        <w:tc>
          <w:tcPr>
            <w:tcW w:type="dxa" w:w="4706"/>
          </w:tcPr>
          <w:p>
            <w:r>
              <w:rPr>
                <w:sz w:val="18"/>
              </w:rPr>
            </w:r>
            <w:r>
              <w:rPr>
                <w:sz w:val="18"/>
              </w:rPr>
              <w:t>60</w:t>
            </w:r>
          </w:p>
        </w:tc>
      </w:tr>
      <w:tr>
        <w:tc>
          <w:tcPr>
            <w:tcW w:type="dxa" w:w="4706"/>
          </w:tcPr>
          <w:p>
            <w:r>
              <w:rPr>
                <w:sz w:val="18"/>
              </w:rPr>
            </w:r>
            <w:r>
              <w:rPr>
                <w:sz w:val="18"/>
              </w:rPr>
              <w:t>Learners who kept learning across three or more months</w:t>
            </w:r>
          </w:p>
        </w:tc>
        <w:tc>
          <w:tcPr>
            <w:tcW w:type="dxa" w:w="4706"/>
          </w:tcPr>
          <w:p>
            <w:r>
              <w:rPr>
                <w:sz w:val="18"/>
              </w:rPr>
            </w:r>
            <w:r>
              <w:rPr>
                <w:sz w:val="18"/>
              </w:rPr>
              <w:t>20</w:t>
            </w:r>
          </w:p>
        </w:tc>
      </w:tr>
      <w:tr>
        <w:tc>
          <w:tcPr>
            <w:tcW w:type="dxa" w:w="4706"/>
          </w:tcPr>
          <w:p>
            <w:r>
              <w:rPr>
                <w:sz w:val="18"/>
              </w:rPr>
            </w:r>
            <w:r>
              <w:rPr>
                <w:sz w:val="18"/>
              </w:rPr>
              <w:t>Learners with at least one formal certification</w:t>
            </w:r>
          </w:p>
        </w:tc>
        <w:tc>
          <w:tcPr>
            <w:tcW w:type="dxa" w:w="4706"/>
          </w:tcPr>
          <w:p>
            <w:r>
              <w:rPr>
                <w:sz w:val="18"/>
              </w:rPr>
            </w:r>
            <w:r>
              <w:rPr>
                <w:sz w:val="18"/>
              </w:rPr>
              <w:t>26</w:t>
            </w:r>
          </w:p>
        </w:tc>
      </w:tr>
      <w:tr>
        <w:tc>
          <w:tcPr>
            <w:tcW w:type="dxa" w:w="4706"/>
          </w:tcPr>
          <w:p>
            <w:r>
              <w:rPr>
                <w:sz w:val="18"/>
              </w:rPr>
            </w:r>
            <w:r>
              <w:rPr>
                <w:sz w:val="18"/>
              </w:rPr>
              <w:t>Formal certifications earned</w:t>
            </w:r>
          </w:p>
        </w:tc>
        <w:tc>
          <w:tcPr>
            <w:tcW w:type="dxa" w:w="4706"/>
          </w:tcPr>
          <w:p>
            <w:r>
              <w:rPr>
                <w:sz w:val="18"/>
              </w:rPr>
            </w:r>
            <w:r>
              <w:rPr>
                <w:sz w:val="18"/>
              </w:rPr>
              <w:t>88</w:t>
            </w:r>
          </w:p>
        </w:tc>
      </w:tr>
    </w:tbl>
    <w:p/>
    <w:p>
      <w:r>
        <w:t>Certifications earned: AI Proficiency 23, Communication 17, Creativity 16, Critical Thinking 15, Problem Solving 12, Financial Literacy 3, other specialist 2. Each is judged against a written rubric and counts at the Proficient level or higher.</w:t>
      </w:r>
    </w:p>
    <w:p>
      <w:r>
        <w:rPr>
          <w:b/>
        </w:rPr>
        <w:t>Reading this honestly:</w:t>
      </w:r>
      <w:r>
        <w:t xml:space="preserve"> fewer than half of enrolled learners have started a session, and about one in seven has kept going for three months. Engagement is the platform's biggest challenge, not its success story, and the cohort tables show most cohorts losing a large share of learners after the first month.</w:t>
      </w:r>
    </w:p>
    <w:p>
      <w:pPr>
        <w:pStyle w:val="Heading2"/>
      </w:pPr>
      <w:r>
        <w:t>3. What learners do with what they learn</w:t>
      </w:r>
    </w:p>
    <w:p>
      <w:r>
        <w:t>Learners use AI to help real people near them and record what happened:</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Area</w:t>
            </w:r>
          </w:p>
        </w:tc>
        <w:tc>
          <w:tcPr>
            <w:tcW w:type="dxa" w:w="4706"/>
            <w:shd w:val="clear" w:color="auto" w:fill="E3EBF4"/>
          </w:tcPr>
          <w:p>
            <w:r>
              <w:rPr>
                <w:b/>
                <w:sz w:val="18"/>
              </w:rPr>
            </w:r>
            <w:r>
              <w:rPr>
                <w:b/>
                <w:sz w:val="18"/>
              </w:rPr>
              <w:t>Consultations recorded</w:t>
            </w:r>
          </w:p>
        </w:tc>
      </w:tr>
      <w:tr>
        <w:tc>
          <w:tcPr>
            <w:tcW w:type="dxa" w:w="4706"/>
          </w:tcPr>
          <w:p>
            <w:r>
              <w:rPr>
                <w:sz w:val="18"/>
              </w:rPr>
            </w:r>
            <w:r>
              <w:rPr>
                <w:sz w:val="18"/>
              </w:rPr>
              <w:t>Agriculture</w:t>
            </w:r>
          </w:p>
        </w:tc>
        <w:tc>
          <w:tcPr>
            <w:tcW w:type="dxa" w:w="4706"/>
          </w:tcPr>
          <w:p>
            <w:r>
              <w:rPr>
                <w:sz w:val="18"/>
              </w:rPr>
            </w:r>
            <w:r>
              <w:rPr>
                <w:sz w:val="18"/>
              </w:rPr>
              <w:t>222</w:t>
            </w:r>
          </w:p>
        </w:tc>
      </w:tr>
      <w:tr>
        <w:tc>
          <w:tcPr>
            <w:tcW w:type="dxa" w:w="4706"/>
          </w:tcPr>
          <w:p>
            <w:r>
              <w:rPr>
                <w:sz w:val="18"/>
              </w:rPr>
            </w:r>
            <w:r>
              <w:rPr>
                <w:sz w:val="18"/>
              </w:rPr>
              <w:t>Entrepreneurship</w:t>
            </w:r>
          </w:p>
        </w:tc>
        <w:tc>
          <w:tcPr>
            <w:tcW w:type="dxa" w:w="4706"/>
          </w:tcPr>
          <w:p>
            <w:r>
              <w:rPr>
                <w:sz w:val="18"/>
              </w:rPr>
            </w:r>
            <w:r>
              <w:rPr>
                <w:sz w:val="18"/>
              </w:rPr>
              <w:t>74</w:t>
            </w:r>
          </w:p>
        </w:tc>
      </w:tr>
      <w:tr>
        <w:tc>
          <w:tcPr>
            <w:tcW w:type="dxa" w:w="4706"/>
          </w:tcPr>
          <w:p>
            <w:r>
              <w:rPr>
                <w:sz w:val="18"/>
              </w:rPr>
            </w:r>
            <w:r>
              <w:rPr>
                <w:sz w:val="18"/>
              </w:rPr>
              <w:t>Health navigation</w:t>
            </w:r>
          </w:p>
        </w:tc>
        <w:tc>
          <w:tcPr>
            <w:tcW w:type="dxa" w:w="4706"/>
          </w:tcPr>
          <w:p>
            <w:r>
              <w:rPr>
                <w:sz w:val="18"/>
              </w:rPr>
            </w:r>
            <w:r>
              <w:rPr>
                <w:sz w:val="18"/>
              </w:rPr>
              <w:t>39</w:t>
            </w:r>
          </w:p>
        </w:tc>
      </w:tr>
      <w:tr>
        <w:tc>
          <w:tcPr>
            <w:tcW w:type="dxa" w:w="4706"/>
          </w:tcPr>
          <w:p>
            <w:r>
              <w:rPr>
                <w:sz w:val="18"/>
              </w:rPr>
            </w:r>
            <w:r>
              <w:rPr>
                <w:sz w:val="18"/>
              </w:rPr>
              <w:t>Fishing</w:t>
            </w:r>
          </w:p>
        </w:tc>
        <w:tc>
          <w:tcPr>
            <w:tcW w:type="dxa" w:w="4706"/>
          </w:tcPr>
          <w:p>
            <w:r>
              <w:rPr>
                <w:sz w:val="18"/>
              </w:rPr>
            </w:r>
            <w:r>
              <w:rPr>
                <w:sz w:val="18"/>
              </w:rPr>
              <w:t>32</w:t>
            </w:r>
          </w:p>
        </w:tc>
      </w:tr>
      <w:tr>
        <w:tc>
          <w:tcPr>
            <w:tcW w:type="dxa" w:w="4706"/>
          </w:tcPr>
          <w:p>
            <w:r>
              <w:rPr>
                <w:sz w:val="18"/>
              </w:rPr>
            </w:r>
            <w:r>
              <w:rPr>
                <w:sz w:val="18"/>
              </w:rPr>
              <w:t>Animal husbandry</w:t>
            </w:r>
          </w:p>
        </w:tc>
        <w:tc>
          <w:tcPr>
            <w:tcW w:type="dxa" w:w="4706"/>
          </w:tcPr>
          <w:p>
            <w:r>
              <w:rPr>
                <w:sz w:val="18"/>
              </w:rPr>
            </w:r>
            <w:r>
              <w:rPr>
                <w:sz w:val="18"/>
              </w:rPr>
              <w:t>31</w:t>
            </w:r>
          </w:p>
        </w:tc>
      </w:tr>
      <w:tr>
        <w:tc>
          <w:tcPr>
            <w:tcW w:type="dxa" w:w="4706"/>
          </w:tcPr>
          <w:p>
            <w:r>
              <w:rPr>
                <w:sz w:val="18"/>
              </w:rPr>
            </w:r>
            <w:r>
              <w:rPr>
                <w:b/>
                <w:sz w:val="18"/>
              </w:rPr>
              <w:t>Total</w:t>
            </w:r>
          </w:p>
        </w:tc>
        <w:tc>
          <w:tcPr>
            <w:tcW w:type="dxa" w:w="4706"/>
          </w:tcPr>
          <w:p>
            <w:r>
              <w:rPr>
                <w:sz w:val="18"/>
              </w:rPr>
            </w:r>
            <w:r>
              <w:rPr>
                <w:b/>
                <w:sz w:val="18"/>
              </w:rPr>
              <w:t>398</w:t>
            </w:r>
          </w:p>
        </w:tc>
      </w:tr>
    </w:tbl>
    <w:p/>
    <w:p>
      <w:r>
        <w:t>Many include the outcome: whether advice was applied, partly applied, or not applied, and, where possible, an estimated value. Through the weekly and quarterly Community AI Challenges, 26 learners have earned 45 community-impact tiers (32 Seed, 9 Scout, 4 Builder), recognizing that they went out, spoke with real people and acted.</w:t>
      </w:r>
    </w:p>
    <w:p>
      <w:pPr>
        <w:pStyle w:val="Heading2"/>
      </w:pPr>
      <w:r>
        <w:t>4. Do learners get more capable?</w:t>
      </w:r>
    </w:p>
    <w:p>
      <w:r>
        <w:t>We measure two things: how a learner's way of working changes with experience, and how their skills score month to month. Learners are grouped by how many real sessions they have done.</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E3EBF4"/>
          </w:tcPr>
          <w:p>
            <w:r>
              <w:rPr>
                <w:b/>
                <w:sz w:val="18"/>
              </w:rPr>
            </w:r>
            <w:r>
              <w:rPr>
                <w:b/>
                <w:sz w:val="18"/>
              </w:rPr>
              <w:t>Sessions</w:t>
            </w:r>
          </w:p>
        </w:tc>
        <w:tc>
          <w:tcPr>
            <w:tcW w:type="dxa" w:w="1882"/>
            <w:shd w:val="clear" w:color="auto" w:fill="E3EBF4"/>
          </w:tcPr>
          <w:p>
            <w:r>
              <w:rPr>
                <w:b/>
                <w:sz w:val="18"/>
              </w:rPr>
            </w:r>
            <w:r>
              <w:rPr>
                <w:b/>
                <w:sz w:val="18"/>
              </w:rPr>
              <w:t>Learners</w:t>
            </w:r>
          </w:p>
        </w:tc>
        <w:tc>
          <w:tcPr>
            <w:tcW w:type="dxa" w:w="1882"/>
            <w:shd w:val="clear" w:color="auto" w:fill="E3EBF4"/>
          </w:tcPr>
          <w:p>
            <w:r>
              <w:rPr>
                <w:b/>
                <w:sz w:val="18"/>
              </w:rPr>
            </w:r>
            <w:r>
              <w:rPr>
                <w:b/>
                <w:sz w:val="18"/>
              </w:rPr>
              <w:t>Help requests per session</w:t>
            </w:r>
          </w:p>
        </w:tc>
        <w:tc>
          <w:tcPr>
            <w:tcW w:type="dxa" w:w="1882"/>
            <w:shd w:val="clear" w:color="auto" w:fill="E3EBF4"/>
          </w:tcPr>
          <w:p>
            <w:r>
              <w:rPr>
                <w:b/>
                <w:sz w:val="18"/>
              </w:rPr>
            </w:r>
            <w:r>
              <w:rPr>
                <w:b/>
                <w:sz w:val="18"/>
              </w:rPr>
              <w:t>Showing community application</w:t>
            </w:r>
          </w:p>
        </w:tc>
        <w:tc>
          <w:tcPr>
            <w:tcW w:type="dxa" w:w="1882"/>
            <w:shd w:val="clear" w:color="auto" w:fill="E3EBF4"/>
          </w:tcPr>
          <w:p>
            <w:r>
              <w:rPr>
                <w:b/>
                <w:sz w:val="18"/>
              </w:rPr>
            </w:r>
            <w:r>
              <w:rPr>
                <w:b/>
                <w:sz w:val="18"/>
              </w:rPr>
              <w:t>Showing teaching intent</w:t>
            </w:r>
          </w:p>
        </w:tc>
      </w:tr>
      <w:tr>
        <w:tc>
          <w:tcPr>
            <w:tcW w:type="dxa" w:w="1882"/>
          </w:tcPr>
          <w:p>
            <w:r>
              <w:rPr>
                <w:sz w:val="18"/>
              </w:rPr>
            </w:r>
            <w:r>
              <w:rPr>
                <w:sz w:val="18"/>
              </w:rPr>
              <w:t>Early (about 12)</w:t>
            </w:r>
          </w:p>
        </w:tc>
        <w:tc>
          <w:tcPr>
            <w:tcW w:type="dxa" w:w="1882"/>
          </w:tcPr>
          <w:p>
            <w:r>
              <w:rPr>
                <w:sz w:val="18"/>
              </w:rPr>
            </w:r>
            <w:r>
              <w:rPr>
                <w:sz w:val="18"/>
              </w:rPr>
              <w:t>46</w:t>
            </w:r>
          </w:p>
        </w:tc>
        <w:tc>
          <w:tcPr>
            <w:tcW w:type="dxa" w:w="1882"/>
          </w:tcPr>
          <w:p>
            <w:r>
              <w:rPr>
                <w:sz w:val="18"/>
              </w:rPr>
            </w:r>
            <w:r>
              <w:rPr>
                <w:sz w:val="18"/>
              </w:rPr>
              <w:t>7.2</w:t>
            </w:r>
          </w:p>
        </w:tc>
        <w:tc>
          <w:tcPr>
            <w:tcW w:type="dxa" w:w="1882"/>
          </w:tcPr>
          <w:p>
            <w:r>
              <w:rPr>
                <w:sz w:val="18"/>
              </w:rPr>
            </w:r>
            <w:r>
              <w:rPr>
                <w:sz w:val="18"/>
              </w:rPr>
              <w:t>30%</w:t>
            </w:r>
          </w:p>
        </w:tc>
        <w:tc>
          <w:tcPr>
            <w:tcW w:type="dxa" w:w="1882"/>
          </w:tcPr>
          <w:p>
            <w:r>
              <w:rPr>
                <w:sz w:val="18"/>
              </w:rPr>
            </w:r>
            <w:r>
              <w:rPr>
                <w:sz w:val="18"/>
              </w:rPr>
              <w:t>20%</w:t>
            </w:r>
          </w:p>
        </w:tc>
      </w:tr>
      <w:tr>
        <w:tc>
          <w:tcPr>
            <w:tcW w:type="dxa" w:w="1882"/>
          </w:tcPr>
          <w:p>
            <w:r>
              <w:rPr>
                <w:sz w:val="18"/>
              </w:rPr>
            </w:r>
            <w:r>
              <w:rPr>
                <w:sz w:val="18"/>
              </w:rPr>
              <w:t>Developing (about 37)</w:t>
            </w:r>
          </w:p>
        </w:tc>
        <w:tc>
          <w:tcPr>
            <w:tcW w:type="dxa" w:w="1882"/>
          </w:tcPr>
          <w:p>
            <w:r>
              <w:rPr>
                <w:sz w:val="18"/>
              </w:rPr>
            </w:r>
            <w:r>
              <w:rPr>
                <w:sz w:val="18"/>
              </w:rPr>
              <w:t>19</w:t>
            </w:r>
          </w:p>
        </w:tc>
        <w:tc>
          <w:tcPr>
            <w:tcW w:type="dxa" w:w="1882"/>
          </w:tcPr>
          <w:p>
            <w:r>
              <w:rPr>
                <w:sz w:val="18"/>
              </w:rPr>
            </w:r>
            <w:r>
              <w:rPr>
                <w:sz w:val="18"/>
              </w:rPr>
              <w:t>3.7</w:t>
            </w:r>
          </w:p>
        </w:tc>
        <w:tc>
          <w:tcPr>
            <w:tcW w:type="dxa" w:w="1882"/>
          </w:tcPr>
          <w:p>
            <w:r>
              <w:rPr>
                <w:sz w:val="18"/>
              </w:rPr>
            </w:r>
            <w:r>
              <w:rPr>
                <w:sz w:val="18"/>
              </w:rPr>
              <w:t>67%</w:t>
            </w:r>
          </w:p>
        </w:tc>
        <w:tc>
          <w:tcPr>
            <w:tcW w:type="dxa" w:w="1882"/>
          </w:tcPr>
          <w:p>
            <w:r>
              <w:rPr>
                <w:sz w:val="18"/>
              </w:rPr>
            </w:r>
            <w:r>
              <w:rPr>
                <w:sz w:val="18"/>
              </w:rPr>
              <w:t>33%</w:t>
            </w:r>
          </w:p>
        </w:tc>
      </w:tr>
      <w:tr>
        <w:tc>
          <w:tcPr>
            <w:tcW w:type="dxa" w:w="1882"/>
          </w:tcPr>
          <w:p>
            <w:r>
              <w:rPr>
                <w:sz w:val="18"/>
              </w:rPr>
            </w:r>
            <w:r>
              <w:rPr>
                <w:sz w:val="18"/>
              </w:rPr>
              <w:t>Established (about 75)</w:t>
            </w:r>
          </w:p>
        </w:tc>
        <w:tc>
          <w:tcPr>
            <w:tcW w:type="dxa" w:w="1882"/>
          </w:tcPr>
          <w:p>
            <w:r>
              <w:rPr>
                <w:sz w:val="18"/>
              </w:rPr>
            </w:r>
            <w:r>
              <w:rPr>
                <w:sz w:val="18"/>
              </w:rPr>
              <w:t>11</w:t>
            </w:r>
          </w:p>
        </w:tc>
        <w:tc>
          <w:tcPr>
            <w:tcW w:type="dxa" w:w="1882"/>
          </w:tcPr>
          <w:p>
            <w:r>
              <w:rPr>
                <w:sz w:val="18"/>
              </w:rPr>
            </w:r>
            <w:r>
              <w:rPr>
                <w:sz w:val="18"/>
              </w:rPr>
              <w:t>3.1</w:t>
            </w:r>
          </w:p>
        </w:tc>
        <w:tc>
          <w:tcPr>
            <w:tcW w:type="dxa" w:w="1882"/>
          </w:tcPr>
          <w:p>
            <w:r>
              <w:rPr>
                <w:sz w:val="18"/>
              </w:rPr>
            </w:r>
            <w:r>
              <w:rPr>
                <w:sz w:val="18"/>
              </w:rPr>
              <w:t>63%</w:t>
            </w:r>
          </w:p>
        </w:tc>
        <w:tc>
          <w:tcPr>
            <w:tcW w:type="dxa" w:w="1882"/>
          </w:tcPr>
          <w:p>
            <w:r>
              <w:rPr>
                <w:sz w:val="18"/>
              </w:rPr>
            </w:r>
            <w:r>
              <w:rPr>
                <w:sz w:val="18"/>
              </w:rPr>
              <w:t>50%</w:t>
            </w:r>
          </w:p>
        </w:tc>
      </w:tr>
      <w:tr>
        <w:tc>
          <w:tcPr>
            <w:tcW w:type="dxa" w:w="1882"/>
          </w:tcPr>
          <w:p>
            <w:r>
              <w:rPr>
                <w:sz w:val="18"/>
              </w:rPr>
            </w:r>
            <w:r>
              <w:rPr>
                <w:sz w:val="18"/>
              </w:rPr>
              <w:t>Core (100+)</w:t>
            </w:r>
          </w:p>
        </w:tc>
        <w:tc>
          <w:tcPr>
            <w:tcW w:type="dxa" w:w="1882"/>
          </w:tcPr>
          <w:p>
            <w:r>
              <w:rPr>
                <w:sz w:val="18"/>
              </w:rPr>
            </w:r>
            <w:r>
              <w:rPr>
                <w:sz w:val="18"/>
              </w:rPr>
              <w:t>10</w:t>
            </w:r>
          </w:p>
        </w:tc>
        <w:tc>
          <w:tcPr>
            <w:tcW w:type="dxa" w:w="1882"/>
          </w:tcPr>
          <w:p>
            <w:r>
              <w:rPr>
                <w:sz w:val="18"/>
              </w:rPr>
            </w:r>
            <w:r>
              <w:rPr>
                <w:sz w:val="18"/>
              </w:rPr>
              <w:t>2.2</w:t>
            </w:r>
          </w:p>
        </w:tc>
        <w:tc>
          <w:tcPr>
            <w:tcW w:type="dxa" w:w="1882"/>
          </w:tcPr>
          <w:p>
            <w:r>
              <w:rPr>
                <w:sz w:val="18"/>
              </w:rPr>
            </w:r>
            <w:r>
              <w:rPr>
                <w:sz w:val="18"/>
              </w:rPr>
              <w:t>83%</w:t>
            </w:r>
          </w:p>
        </w:tc>
        <w:tc>
          <w:tcPr>
            <w:tcW w:type="dxa" w:w="1882"/>
          </w:tcPr>
          <w:p>
            <w:r>
              <w:rPr>
                <w:sz w:val="18"/>
              </w:rPr>
            </w:r>
            <w:r>
              <w:rPr>
                <w:sz w:val="18"/>
              </w:rPr>
              <w:t>60%</w:t>
            </w:r>
          </w:p>
        </w:tc>
      </w:tr>
    </w:tbl>
    <w:p/>
    <w:p>
      <w:r>
        <w:rPr>
          <w:b/>
        </w:rPr>
        <w:t>What this suggests:</w:t>
      </w:r>
      <w:r>
        <w:t xml:space="preserve"> learners who keep going ask for less help, more often apply their learning in the community and more often say they plan to teach others. That is the pattern we hope for.</w:t>
      </w:r>
    </w:p>
    <w:p>
      <w:r>
        <w:rPr>
          <w:b/>
        </w:rPr>
        <w:t>Skill scores (0 to 100)</w:t>
      </w:r>
      <w:r>
        <w:t xml:space="preserve"> from the monthly AI assessment are close to flat across the first three groups (critical thinking about 41, 46, 40) and higher only in the 100+ group (about 59). We do not claim skill growth from the early and middle groups.</w:t>
      </w:r>
    </w:p>
    <w:p>
      <w:pPr>
        <w:pStyle w:val="Heading2"/>
      </w:pPr>
      <w:r>
        <w:t>5. What we cannot say</w:t>
      </w:r>
    </w:p>
    <w:p>
      <w:pPr>
        <w:pStyle w:val="ListNumber"/>
      </w:pPr>
      <w:r>
        <w:rPr>
          <w:b/>
        </w:rPr>
        <w:t>We cannot say the programme caused these changes.</w:t>
      </w:r>
      <w:r>
        <w:t xml:space="preserve"> There is no comparison group. Learners who stay for 100 sessions may have been more motivated or more able to begin with.</w:t>
      </w:r>
    </w:p>
    <w:p>
      <w:pPr>
        <w:pStyle w:val="ListNumber"/>
      </w:pPr>
      <w:r>
        <w:rPr>
          <w:b/>
        </w:rPr>
        <w:t>The upper groups are small</w:t>
      </w:r>
      <w:r>
        <w:t xml:space="preserve"> (10 and 11 learners), so a few learners change the averages.</w:t>
      </w:r>
    </w:p>
    <w:p>
      <w:pPr>
        <w:pStyle w:val="ListNumber"/>
      </w:pPr>
      <w:r>
        <w:rPr>
          <w:b/>
        </w:rPr>
        <w:t>Skill scores are an AI estimate,</w:t>
      </w:r>
      <w:r>
        <w:t xml:space="preserve"> not a test. They have not yet been compared with marks from experienced teachers. See "How students are evaluated".</w:t>
      </w:r>
    </w:p>
    <w:p>
      <w:pPr>
        <w:pStyle w:val="ListNumber"/>
      </w:pPr>
      <w:r>
        <w:rPr>
          <w:b/>
        </w:rPr>
        <w:t>Retention is weak.</w:t>
      </w:r>
      <w:r>
        <w:t xml:space="preserve"> Most learners who enrol do not become long-term users.</w:t>
      </w:r>
    </w:p>
    <w:p>
      <w:pPr>
        <w:pStyle w:val="ListNumber"/>
      </w:pPr>
      <w:r>
        <w:rPr>
          <w:b/>
        </w:rPr>
        <w:t>Some figures were restated</w:t>
      </w:r>
      <w:r>
        <w:t xml:space="preserve"> in October 2026 after we removed pre-created empty records that had inflated session counts. Earlier published session figures were too high. The originals are kept for transparency.</w:t>
      </w:r>
    </w:p>
    <w:p>
      <w:pPr>
        <w:pStyle w:val="ListNumber"/>
      </w:pPr>
      <w:r>
        <w:rPr>
          <w:b/>
        </w:rPr>
        <w:t>Cost and sustainability are not yet proven at scale.</w:t>
      </w:r>
      <w:r>
        <w:t xml:space="preserve"> Recorded AI cost is about US$0.11 to $0.28 per active learner-day, and a lab of about 14 computers runs on one Starlink connection, but a partner's ability to fund this over years is untested.</w:t>
      </w:r>
    </w:p>
    <w:p>
      <w:pPr>
        <w:pStyle w:val="Heading2"/>
      </w:pPr>
      <w:r>
        <w:t>6. How we are strengthening the evidence</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Step</w:t>
            </w:r>
          </w:p>
        </w:tc>
        <w:tc>
          <w:tcPr>
            <w:tcW w:type="dxa" w:w="4706"/>
            <w:shd w:val="clear" w:color="auto" w:fill="E3EBF4"/>
          </w:tcPr>
          <w:p>
            <w:r>
              <w:rPr>
                <w:b/>
                <w:sz w:val="18"/>
              </w:rPr>
            </w:r>
            <w:r>
              <w:rPr>
                <w:b/>
                <w:sz w:val="18"/>
              </w:rPr>
              <w:t>Status</w:t>
            </w:r>
          </w:p>
        </w:tc>
      </w:tr>
      <w:tr>
        <w:tc>
          <w:tcPr>
            <w:tcW w:type="dxa" w:w="4706"/>
          </w:tcPr>
          <w:p>
            <w:r>
              <w:rPr>
                <w:sz w:val="18"/>
              </w:rPr>
            </w:r>
            <w:r>
              <w:rPr>
                <w:sz w:val="18"/>
              </w:rPr>
              <w:t>Same prompt-writing task at the start and after 25, 50 and 100 sessions, scored blind</w:t>
            </w:r>
          </w:p>
        </w:tc>
        <w:tc>
          <w:tcPr>
            <w:tcW w:type="dxa" w:w="4706"/>
          </w:tcPr>
          <w:p>
            <w:r>
              <w:rPr>
                <w:sz w:val="18"/>
              </w:rPr>
            </w:r>
            <w:r>
              <w:rPr>
                <w:sz w:val="18"/>
              </w:rPr>
              <w:t>Live since 9 October 2026; first results awaited</w:t>
            </w:r>
          </w:p>
        </w:tc>
      </w:tr>
      <w:tr>
        <w:tc>
          <w:tcPr>
            <w:tcW w:type="dxa" w:w="4706"/>
          </w:tcPr>
          <w:p>
            <w:r>
              <w:rPr>
                <w:sz w:val="18"/>
              </w:rPr>
            </w:r>
            <w:r>
              <w:rPr>
                <w:sz w:val="18"/>
              </w:rPr>
              <w:t>Compare AI scores with scores from two experienced teachers</w:t>
            </w:r>
          </w:p>
        </w:tc>
        <w:tc>
          <w:tcPr>
            <w:tcW w:type="dxa" w:w="4706"/>
          </w:tcPr>
          <w:p>
            <w:r>
              <w:rPr>
                <w:sz w:val="18"/>
              </w:rPr>
            </w:r>
            <w:r>
              <w:rPr>
                <w:sz w:val="18"/>
              </w:rPr>
              <w:t>Planned (checklist item)</w:t>
            </w:r>
          </w:p>
        </w:tc>
      </w:tr>
      <w:tr>
        <w:tc>
          <w:tcPr>
            <w:tcW w:type="dxa" w:w="4706"/>
          </w:tcPr>
          <w:p>
            <w:r>
              <w:rPr>
                <w:sz w:val="18"/>
              </w:rPr>
            </w:r>
            <w:r>
              <w:rPr>
                <w:sz w:val="18"/>
              </w:rPr>
              <w:t>Monthly effort review separating effort from skill</w:t>
            </w:r>
          </w:p>
        </w:tc>
        <w:tc>
          <w:tcPr>
            <w:tcW w:type="dxa" w:w="4706"/>
          </w:tcPr>
          <w:p>
            <w:r>
              <w:rPr>
                <w:sz w:val="18"/>
              </w:rPr>
            </w:r>
            <w:r>
              <w:rPr>
                <w:sz w:val="18"/>
              </w:rPr>
              <w:t>First run 3 November 2026</w:t>
            </w:r>
          </w:p>
        </w:tc>
      </w:tr>
      <w:tr>
        <w:tc>
          <w:tcPr>
            <w:tcW w:type="dxa" w:w="4706"/>
          </w:tcPr>
          <w:p>
            <w:r>
              <w:rPr>
                <w:sz w:val="18"/>
              </w:rPr>
            </w:r>
            <w:r>
              <w:rPr>
                <w:sz w:val="18"/>
              </w:rPr>
              <w:t>Per-learner growth view for leaders</w:t>
            </w:r>
          </w:p>
        </w:tc>
        <w:tc>
          <w:tcPr>
            <w:tcW w:type="dxa" w:w="4706"/>
          </w:tcPr>
          <w:p>
            <w:r>
              <w:rPr>
                <w:sz w:val="18"/>
              </w:rPr>
            </w:r>
            <w:r>
              <w:rPr>
                <w:sz w:val="18"/>
              </w:rPr>
              <w:t>Live for administrators</w:t>
            </w:r>
          </w:p>
        </w:tc>
      </w:tr>
      <w:tr>
        <w:tc>
          <w:tcPr>
            <w:tcW w:type="dxa" w:w="4706"/>
          </w:tcPr>
          <w:p>
            <w:r>
              <w:rPr>
                <w:sz w:val="18"/>
              </w:rPr>
            </w:r>
            <w:r>
              <w:rPr>
                <w:sz w:val="18"/>
              </w:rPr>
              <w:t>Guardian consent recorded for every learner under 18</w:t>
            </w:r>
          </w:p>
        </w:tc>
        <w:tc>
          <w:tcPr>
            <w:tcW w:type="dxa" w:w="4706"/>
          </w:tcPr>
          <w:p>
            <w:r>
              <w:rPr>
                <w:sz w:val="18"/>
              </w:rPr>
            </w:r>
            <w:r>
              <w:rPr>
                <w:sz w:val="18"/>
              </w:rPr>
              <w:t>Live; leaders recording the remaining forms</w:t>
            </w:r>
          </w:p>
        </w:tc>
      </w:tr>
      <w:tr>
        <w:tc>
          <w:tcPr>
            <w:tcW w:type="dxa" w:w="4706"/>
          </w:tcPr>
          <w:p>
            <w:r>
              <w:rPr>
                <w:sz w:val="18"/>
              </w:rPr>
            </w:r>
            <w:r>
              <w:rPr>
                <w:sz w:val="18"/>
              </w:rPr>
              <w:t>Open research data, anonymised, groups of five or more only</w:t>
            </w:r>
          </w:p>
        </w:tc>
        <w:tc>
          <w:tcPr>
            <w:tcW w:type="dxa" w:w="4706"/>
          </w:tcPr>
          <w:p>
            <w:r>
              <w:rPr>
                <w:sz w:val="18"/>
              </w:rPr>
            </w:r>
            <w:r>
              <w:rPr>
                <w:sz w:val="18"/>
              </w:rPr>
              <w:t>Published in the research repository</w:t>
            </w:r>
          </w:p>
        </w:tc>
      </w:tr>
      <w:tr>
        <w:tc>
          <w:tcPr>
            <w:tcW w:type="dxa" w:w="4706"/>
          </w:tcPr>
          <w:p>
            <w:r>
              <w:rPr>
                <w:sz w:val="18"/>
              </w:rPr>
            </w:r>
            <w:r>
              <w:rPr>
                <w:sz w:val="18"/>
              </w:rPr>
              <w:t>Written change process and public decision log</w:t>
            </w:r>
          </w:p>
        </w:tc>
        <w:tc>
          <w:tcPr>
            <w:tcW w:type="dxa" w:w="4706"/>
          </w:tcPr>
          <w:p>
            <w:r>
              <w:rPr>
                <w:sz w:val="18"/>
              </w:rPr>
            </w:r>
            <w:r>
              <w:rPr>
                <w:sz w:val="18"/>
              </w:rPr>
              <w:t>Live</w:t>
            </w:r>
          </w:p>
        </w:tc>
      </w:tr>
    </w:tbl>
    <w:p/>
    <w:p>
      <w:pPr>
        <w:pStyle w:val="Heading2"/>
      </w:pPr>
      <w:r>
        <w:t>7. What partners and funders can expect</w:t>
      </w:r>
    </w:p>
    <w:p>
      <w:pPr>
        <w:pStyle w:val="ListBullet"/>
      </w:pPr>
      <w:r>
        <w:t>A daily usage report and a monthly progress report for each organization, plus longitudinal results for its learners.</w:t>
      </w:r>
    </w:p>
    <w:p>
      <w:pPr>
        <w:pStyle w:val="ListBullet"/>
      </w:pPr>
      <w:r>
        <w:t>Honest numbers: we will publish retention and limits alongside the successes.</w:t>
      </w:r>
    </w:p>
    <w:p>
      <w:pPr>
        <w:pStyle w:val="ListBullet"/>
      </w:pPr>
      <w:r>
        <w:t>Child-protection and data-protection documents they can inspect (see the data protection summary).</w:t>
      </w:r>
    </w:p>
    <w:p>
      <w:pPr>
        <w:pStyle w:val="Heading2"/>
      </w:pPr>
      <w:r>
        <w:t>8. Notes on method</w:t>
      </w:r>
    </w:p>
    <w:p>
      <w:pPr>
        <w:pStyle w:val="ListBullet"/>
      </w:pPr>
      <w:r>
        <w:t>"Enrolled" means approved student or learner accounts; staff, test and duplicate accounts are excluded. Some learners have more than one account; an administrator tool to merge them is available, so the enrolled count may fall slightly as duplicates are merged.</w:t>
      </w:r>
    </w:p>
    <w:p>
      <w:pPr>
        <w:pStyle w:val="ListBullet"/>
      </w:pPr>
      <w:r>
        <w:t>"Active" means at least one real curriculum session (an empty record does not count).</w:t>
      </w:r>
    </w:p>
    <w:p>
      <w:pPr>
        <w:pStyle w:val="ListBullet"/>
      </w:pPr>
      <w:r>
        <w:t>"Persistent" means activity in three or more months.</w:t>
      </w:r>
    </w:p>
    <w:p>
      <w:pPr>
        <w:pStyle w:val="ListBullet"/>
      </w:pPr>
      <w:r>
        <w:t>Session bands use real sessions dated by the learner's first message.</w:t>
      </w:r>
    </w:p>
    <w:p>
      <w:pPr>
        <w:pStyle w:val="ListBullet"/>
      </w:pPr>
      <w:r>
        <w:t>Research outputs hide any group smaller than five.</w:t>
      </w:r>
    </w:p>
    <w:p>
      <w:r>
        <w:t>Contact: Kevin Hallinan, kevin.hallinan@nextVillage.community.</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Impact and outcomes summary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