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Protecting children's data: a summary for funders and partners</w:t>
      </w:r>
    </w:p>
    <w:p>
      <w:r>
        <w:rPr>
          <w:i/>
        </w:rPr>
        <w:t>nextVillage.community · 17 October 2026</w:t>
      </w:r>
    </w:p>
    <w:p>
      <w:r>
        <w:rPr>
          <w:b/>
        </w:rPr>
        <w:t>nextVillage.community</w:t>
      </w:r>
      <w:r>
        <w:t xml:space="preserve"> is a learning platform for young people in sub-Saharan Africa and a small group in the United States. Most learners are minors, so protecting their information and safety is a condition of everything else we do.</w:t>
      </w:r>
    </w:p>
    <w:p>
      <w:r>
        <w:t>Version 1, 17 October 2026. Contact: Kevin Hallinan, kevin.hallinan@nextVillage.community.</w:t>
      </w:r>
    </w:p>
    <w:p>
      <w:pPr>
        <w:pStyle w:val="Heading2"/>
      </w:pPr>
      <w:r>
        <w:t>What we do</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Area</w:t>
            </w:r>
          </w:p>
        </w:tc>
        <w:tc>
          <w:tcPr>
            <w:tcW w:type="dxa" w:w="4706"/>
            <w:shd w:val="clear" w:color="auto" w:fill="E3EBF4"/>
          </w:tcPr>
          <w:p>
            <w:r>
              <w:rPr>
                <w:b/>
                <w:sz w:val="18"/>
              </w:rPr>
            </w:r>
            <w:r>
              <w:rPr>
                <w:b/>
                <w:sz w:val="18"/>
              </w:rPr>
              <w:t>In place today</w:t>
            </w:r>
          </w:p>
        </w:tc>
      </w:tr>
      <w:tr>
        <w:tc>
          <w:tcPr>
            <w:tcW w:type="dxa" w:w="4706"/>
          </w:tcPr>
          <w:p>
            <w:r>
              <w:rPr>
                <w:sz w:val="18"/>
              </w:rPr>
            </w:r>
            <w:r>
              <w:rPr>
                <w:b/>
                <w:sz w:val="18"/>
              </w:rPr>
              <w:t>Consent</w:t>
            </w:r>
          </w:p>
        </w:tc>
        <w:tc>
          <w:tcPr>
            <w:tcW w:type="dxa" w:w="4706"/>
          </w:tcPr>
          <w:p>
            <w:r>
              <w:rPr>
                <w:sz w:val="18"/>
              </w:rPr>
            </w:r>
            <w:r>
              <w:rPr>
                <w:sz w:val="18"/>
              </w:rPr>
              <w:t>A guardian's permission is recorded for every learner under 18, collected on a paper form in person where parents have no email. Leaders see who is still missing one.</w:t>
            </w:r>
          </w:p>
        </w:tc>
      </w:tr>
      <w:tr>
        <w:tc>
          <w:tcPr>
            <w:tcW w:type="dxa" w:w="4706"/>
          </w:tcPr>
          <w:p>
            <w:r>
              <w:rPr>
                <w:sz w:val="18"/>
              </w:rPr>
            </w:r>
            <w:r>
              <w:rPr>
                <w:b/>
                <w:sz w:val="18"/>
              </w:rPr>
              <w:t>Younger children</w:t>
            </w:r>
          </w:p>
        </w:tc>
        <w:tc>
          <w:tcPr>
            <w:tcW w:type="dxa" w:w="4706"/>
          </w:tcPr>
          <w:p>
            <w:r>
              <w:rPr>
                <w:sz w:val="18"/>
              </w:rPr>
            </w:r>
            <w:r>
              <w:rPr>
                <w:sz w:val="18"/>
              </w:rPr>
              <w:t>Learners under 13 have no peer chat by default, hidden names and photos, and use only our main reviewed AI provider. We chose to protect young children, not exclude them.</w:t>
            </w:r>
          </w:p>
        </w:tc>
      </w:tr>
      <w:tr>
        <w:tc>
          <w:tcPr>
            <w:tcW w:type="dxa" w:w="4706"/>
          </w:tcPr>
          <w:p>
            <w:r>
              <w:rPr>
                <w:sz w:val="18"/>
              </w:rPr>
            </w:r>
            <w:r>
              <w:rPr>
                <w:b/>
                <w:sz w:val="18"/>
              </w:rPr>
              <w:t>Safety</w:t>
            </w:r>
          </w:p>
        </w:tc>
        <w:tc>
          <w:tcPr>
            <w:tcW w:type="dxa" w:w="4706"/>
          </w:tcPr>
          <w:p>
            <w:r>
              <w:rPr>
                <w:sz w:val="18"/>
              </w:rPr>
            </w:r>
            <w:r>
              <w:rPr>
                <w:sz w:val="18"/>
              </w:rPr>
              <w:t>A separate safety checker reads every message and emails the learner's leaders on signs of self-harm, threats or hate. A named child-protection lead handles every concern.</w:t>
            </w:r>
          </w:p>
        </w:tc>
      </w:tr>
      <w:tr>
        <w:tc>
          <w:tcPr>
            <w:tcW w:type="dxa" w:w="4706"/>
          </w:tcPr>
          <w:p>
            <w:r>
              <w:rPr>
                <w:sz w:val="18"/>
              </w:rPr>
            </w:r>
            <w:r>
              <w:rPr>
                <w:b/>
                <w:sz w:val="18"/>
              </w:rPr>
              <w:t>Personal details</w:t>
            </w:r>
          </w:p>
        </w:tc>
        <w:tc>
          <w:tcPr>
            <w:tcW w:type="dxa" w:w="4706"/>
          </w:tcPr>
          <w:p>
            <w:r>
              <w:rPr>
                <w:sz w:val="18"/>
              </w:rPr>
            </w:r>
            <w:r>
              <w:rPr>
                <w:sz w:val="18"/>
              </w:rPr>
              <w:t>Phone numbers, emails, addresses, school names and other people's names are removed before text reaches an AI provider.</w:t>
            </w:r>
          </w:p>
        </w:tc>
      </w:tr>
      <w:tr>
        <w:tc>
          <w:tcPr>
            <w:tcW w:type="dxa" w:w="4706"/>
          </w:tcPr>
          <w:p>
            <w:r>
              <w:rPr>
                <w:sz w:val="18"/>
              </w:rPr>
            </w:r>
            <w:r>
              <w:rPr>
                <w:b/>
                <w:sz w:val="18"/>
              </w:rPr>
              <w:t>Access</w:t>
            </w:r>
          </w:p>
        </w:tc>
        <w:tc>
          <w:tcPr>
            <w:tcW w:type="dxa" w:w="4706"/>
          </w:tcPr>
          <w:p>
            <w:r>
              <w:rPr>
                <w:sz w:val="18"/>
              </w:rPr>
            </w:r>
            <w:r>
              <w:rPr>
                <w:sz w:val="18"/>
              </w:rPr>
              <w:t>Role-based access: a learner sees their own work, a leader sees their organization, staff are limited. Database rules enforce this, not just the screen.</w:t>
            </w:r>
          </w:p>
        </w:tc>
      </w:tr>
      <w:tr>
        <w:tc>
          <w:tcPr>
            <w:tcW w:type="dxa" w:w="4706"/>
          </w:tcPr>
          <w:p>
            <w:r>
              <w:rPr>
                <w:sz w:val="18"/>
              </w:rPr>
            </w:r>
            <w:r>
              <w:rPr>
                <w:b/>
                <w:sz w:val="18"/>
              </w:rPr>
              <w:t>Security</w:t>
            </w:r>
          </w:p>
        </w:tc>
        <w:tc>
          <w:tcPr>
            <w:tcW w:type="dxa" w:w="4706"/>
          </w:tcPr>
          <w:p>
            <w:r>
              <w:rPr>
                <w:sz w:val="18"/>
              </w:rPr>
            </w:r>
            <w:r>
              <w:rPr>
                <w:sz w:val="18"/>
              </w:rPr>
              <w:t>Encryption in transit and at rest, protected main code branch with automated checks, automated code scanning (clean), dependency monitoring, and a recent independent security review whose advice we acted on.</w:t>
            </w:r>
          </w:p>
        </w:tc>
      </w:tr>
      <w:tr>
        <w:tc>
          <w:tcPr>
            <w:tcW w:type="dxa" w:w="4706"/>
          </w:tcPr>
          <w:p>
            <w:r>
              <w:rPr>
                <w:sz w:val="18"/>
              </w:rPr>
            </w:r>
            <w:r>
              <w:rPr>
                <w:b/>
                <w:sz w:val="18"/>
              </w:rPr>
              <w:t>No selling, no ads</w:t>
            </w:r>
          </w:p>
        </w:tc>
        <w:tc>
          <w:tcPr>
            <w:tcW w:type="dxa" w:w="4706"/>
          </w:tcPr>
          <w:p>
            <w:r>
              <w:rPr>
                <w:sz w:val="18"/>
              </w:rPr>
            </w:r>
            <w:r>
              <w:rPr>
                <w:sz w:val="18"/>
              </w:rPr>
              <w:t>Children's information is never sold and no advertising is shown.</w:t>
            </w:r>
          </w:p>
        </w:tc>
      </w:tr>
      <w:tr>
        <w:tc>
          <w:tcPr>
            <w:tcW w:type="dxa" w:w="4706"/>
          </w:tcPr>
          <w:p>
            <w:r>
              <w:rPr>
                <w:sz w:val="18"/>
              </w:rPr>
            </w:r>
            <w:r>
              <w:rPr>
                <w:b/>
                <w:sz w:val="18"/>
              </w:rPr>
              <w:t>Research</w:t>
            </w:r>
          </w:p>
        </w:tc>
        <w:tc>
          <w:tcPr>
            <w:tcW w:type="dxa" w:w="4706"/>
          </w:tcPr>
          <w:p>
            <w:r>
              <w:rPr>
                <w:sz w:val="18"/>
              </w:rPr>
            </w:r>
            <w:r>
              <w:rPr>
                <w:sz w:val="18"/>
              </w:rPr>
              <w:t>Only anonymous, combined results are used. No names, and no group smaller than five learners.</w:t>
            </w:r>
          </w:p>
        </w:tc>
      </w:tr>
      <w:tr>
        <w:tc>
          <w:tcPr>
            <w:tcW w:type="dxa" w:w="4706"/>
          </w:tcPr>
          <w:p>
            <w:r>
              <w:rPr>
                <w:sz w:val="18"/>
              </w:rPr>
            </w:r>
            <w:r>
              <w:rPr>
                <w:b/>
                <w:sz w:val="18"/>
              </w:rPr>
              <w:t>Rights</w:t>
            </w:r>
          </w:p>
        </w:tc>
        <w:tc>
          <w:tcPr>
            <w:tcW w:type="dxa" w:w="4706"/>
          </w:tcPr>
          <w:p>
            <w:r>
              <w:rPr>
                <w:sz w:val="18"/>
              </w:rPr>
            </w:r>
            <w:r>
              <w:rPr>
                <w:sz w:val="18"/>
              </w:rPr>
              <w:t>Parents can see, correct or delete their child's records or withdraw consent by telling a leader in person or contacting the child-protection lead.</w:t>
            </w:r>
          </w:p>
        </w:tc>
      </w:tr>
      <w:tr>
        <w:tc>
          <w:tcPr>
            <w:tcW w:type="dxa" w:w="4706"/>
          </w:tcPr>
          <w:p>
            <w:r>
              <w:rPr>
                <w:sz w:val="18"/>
              </w:rPr>
            </w:r>
            <w:r>
              <w:rPr>
                <w:b/>
                <w:sz w:val="18"/>
              </w:rPr>
              <w:t>Incidents</w:t>
            </w:r>
          </w:p>
        </w:tc>
        <w:tc>
          <w:tcPr>
            <w:tcW w:type="dxa" w:w="4706"/>
          </w:tcPr>
          <w:p>
            <w:r>
              <w:rPr>
                <w:sz w:val="18"/>
              </w:rPr>
            </w:r>
            <w:r>
              <w:rPr>
                <w:sz w:val="18"/>
              </w:rPr>
              <w:t>A written response plan, a breach log, and a promise to tell families and regulators as the law requires.</w:t>
            </w:r>
          </w:p>
        </w:tc>
      </w:tr>
    </w:tbl>
    <w:p/>
    <w:p>
      <w:pPr>
        <w:pStyle w:val="Heading2"/>
      </w:pPr>
      <w:r>
        <w:t>Laws and standards we work to</w:t>
      </w:r>
    </w:p>
    <w:p>
      <w:r>
        <w:t>Nigeria Data Protection Act 2023, Kenya Data Protection Act 2019 and its regulations, and the US children's privacy rule (COPPA) for our Dayton group. We have reviewed these ourselves with AI-assisted legal analysis and are arranging review by a lawyer. A review of Ghana's Data Protection Act is planned before children in Ghana are enrolled.</w:t>
      </w:r>
    </w:p>
    <w:p>
      <w:pPr>
        <w:pStyle w:val="Heading2"/>
      </w:pPr>
      <w:r>
        <w:t>How decisions are made</w:t>
      </w:r>
    </w:p>
    <w:p>
      <w:r>
        <w:t>A written change process: anyone can propose a change; proposals are weighed monthly; anything affecting children's data, consent or safety needs a privacy and safety check, a second reviewer, and for the highest-impact changes, sign-off by the security advisor and the child-protection lead. Decisions are recorded in a public decision log.</w:t>
      </w:r>
    </w:p>
    <w:p>
      <w:pPr>
        <w:pStyle w:val="Heading2"/>
      </w:pPr>
      <w:r>
        <w:t>What we are honest about</w:t>
      </w:r>
    </w:p>
    <w:p>
      <w:pPr>
        <w:pStyle w:val="ListBullet"/>
      </w:pPr>
      <w:r>
        <w:t>Our AI scoring is an estimate by an AI model, not a school grade, and has not yet been compared with teachers' marks.</w:t>
      </w:r>
    </w:p>
    <w:p>
      <w:pPr>
        <w:pStyle w:val="ListBullet"/>
      </w:pPr>
      <w:r>
        <w:t>We use US-based cloud and AI providers, so children's data crosses borders. We have documented each vendor and are filing their data processing agreements.</w:t>
      </w:r>
    </w:p>
    <w:p>
      <w:pPr>
        <w:pStyle w:val="ListBullet"/>
      </w:pPr>
      <w:r>
        <w:t>The programme (vAI) is run by the Davidson AI Futures Lab together with its founder. A US nonprofit, Impact Mining, Inc., is being formed to raise funds for it. We will update our notices and agreements as that changes.</w:t>
      </w:r>
    </w:p>
    <w:p>
      <w:pPr>
        <w:pStyle w:val="ListBullet"/>
      </w:pPr>
      <w:r>
        <w:t>Some improvements are still open; we keep a public list and work through it.</w:t>
      </w:r>
    </w:p>
    <w:p>
      <w:pPr>
        <w:pStyle w:val="Heading2"/>
      </w:pPr>
      <w:r>
        <w:t>Documents available on request</w:t>
      </w:r>
    </w:p>
    <w:p>
      <w:r>
        <w:t>Privacy notice (public), data map, vendor review, data protection impact assessment, data security and identity protection summary, child safeguarding policy, code of conduct, AI safety description, how students are evaluated, change process and decision log.</w:t>
      </w:r>
    </w:p>
    <w:p>
      <w:r>
        <w:rPr>
          <w:i/>
        </w:rPr>
        <w:t>For the full detail see www.nextvillage.community/privacy and the documents in the project's public repository.</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Protecting children's data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