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nextVillage.community partnership agreement</w:t>
      </w:r>
    </w:p>
    <w:p>
      <w:r>
        <w:rPr>
          <w:i/>
        </w:rPr>
        <w:t>Template: the Organization completes the blanks in Schedule B, both sides complete Schedule C and sign · draft for a lawyer to check</w:t>
      </w:r>
    </w:p>
    <w:p>
      <w:r>
        <w:rPr>
          <w:b/>
        </w:rPr>
        <w:t>Draft for a lawyer to check before first use.</w:t>
      </w:r>
      <w:r>
        <w:t xml:space="preserve"> A new organization completes the blanks in Schedule B and fills in the amounts in Schedule C; both sides sign. Plain language on purpose: every clause should be readable by a community leader. Replace each </w:t>
      </w:r>
      <w:r>
        <w:rPr>
          <w:b/>
        </w:rPr>
        <w:t>[bracket]</w:t>
      </w:r>
      <w:r>
        <w:t>. Keep a signed copy on each side.</w:t>
      </w:r>
    </w:p>
    <w:p>
      <w:r>
        <w:t>This agreement is between:</w:t>
      </w:r>
    </w:p>
    <w:p>
      <w:r>
        <w:t xml:space="preserve">The </w:t>
      </w:r>
      <w:r>
        <w:rPr>
          <w:b/>
        </w:rPr>
        <w:t>Davidson AI Futures Lab</w:t>
      </w:r>
      <w:r>
        <w:t xml:space="preserve">, of Oloibiri, Bayelsa State, Nigeria, led by </w:t>
      </w:r>
      <w:r>
        <w:rPr>
          <w:b/>
        </w:rPr>
        <w:t>Mr. Bennywhite Davidson</w:t>
      </w:r>
      <w:r>
        <w:t xml:space="preserve">, which runs the nextVillage.community program ("</w:t>
      </w:r>
      <w:r>
        <w:rPr>
          <w:b/>
        </w:rPr>
        <w:t>vAI</w:t>
      </w:r>
      <w:r>
        <w:t xml:space="preserve">");</w:t>
      </w:r>
    </w:p>
    <w:p>
      <w:r>
        <w:t>and</w:t>
      </w:r>
    </w:p>
    <w:p>
      <w:r>
        <w:rPr>
          <w:b/>
        </w:rPr>
        <w:t>[Organization legal name]</w:t>
      </w:r>
      <w:r>
        <w:t xml:space="preserve">, of </w:t>
      </w:r>
      <w:r>
        <w:rPr>
          <w:b/>
        </w:rPr>
        <w:t>[address, city, country]</w:t>
      </w:r>
      <w:r>
        <w:t xml:space="preserve">, represented by </w:t>
      </w:r>
      <w:r>
        <w:rPr>
          <w:b/>
        </w:rPr>
        <w:t>[name and title]</w:t>
      </w:r>
      <w:r>
        <w:t xml:space="preserve"> (the "</w:t>
      </w:r>
      <w:r>
        <w:rPr>
          <w:b/>
        </w:rPr>
        <w:t>Organization</w:t>
      </w:r>
      <w:r>
        <w:t>").</w:t>
      </w:r>
    </w:p>
    <w:p>
      <w:r>
        <w:t xml:space="preserve">Date: </w:t>
      </w:r>
      <w:r>
        <w:rPr>
          <w:b/>
        </w:rPr>
        <w:t>[date]</w:t>
      </w:r>
      <w:r>
        <w:t>.</w:t>
      </w:r>
    </w:p>
    <w:p>
      <w:pPr>
        <w:pStyle w:val="Heading2"/>
      </w:pPr>
      <w:r>
        <w:t>1. Why we are partnering</w:t>
      </w:r>
    </w:p>
    <w:p>
      <w:r>
        <w:t xml:space="preserve">vAI helps young people in underserved communities use AI to build their own skill and judgment, apply it to real problems in their communities, and then teach others. The Organization wants to bring this to its learners. We want the partnership to last, and we want the Organization in time to help start the same work in a </w:t>
      </w:r>
      <w:r>
        <w:rPr>
          <w:b/>
        </w:rPr>
        <w:t>next village</w:t>
      </w:r>
      <w:r>
        <w:t>.</w:t>
      </w:r>
    </w:p>
    <w:p>
      <w:pPr>
        <w:pStyle w:val="Heading2"/>
      </w:pPr>
      <w:r>
        <w:t>2. What vAI provides</w:t>
      </w:r>
    </w:p>
    <w:p>
      <w:r>
        <w:t>vAI will provide the following (details in Schedule A):</w:t>
      </w:r>
    </w:p>
    <w:p>
      <w:pPr>
        <w:pStyle w:val="ListNumber"/>
      </w:pPr>
      <w:r>
        <w:rPr>
          <w:b/>
        </w:rPr>
        <w:t>Access to the nextVillage.community platform</w:t>
      </w:r>
      <w:r>
        <w:t xml:space="preserve"> for the Organization's learners and leaders.</w:t>
      </w:r>
    </w:p>
    <w:p>
      <w:pPr>
        <w:pStyle w:val="ListNumber"/>
      </w:pPr>
      <w:r>
        <w:rPr>
          <w:b/>
        </w:rPr>
        <w:t>An organization view</w:t>
      </w:r>
      <w:r>
        <w:t xml:space="preserve"> for its learners and leaders, and an </w:t>
      </w:r>
      <w:r>
        <w:rPr>
          <w:b/>
        </w:rPr>
        <w:t>organization administrator dashboard</w:t>
      </w:r>
      <w:r>
        <w:t xml:space="preserve"> that shows only the Organization's own people.</w:t>
      </w:r>
    </w:p>
    <w:p>
      <w:pPr>
        <w:pStyle w:val="ListNumber"/>
      </w:pPr>
      <w:r>
        <w:rPr>
          <w:b/>
        </w:rPr>
        <w:t>Tailoring of AI learning and skills modules to the Organization's local culture and context</w:t>
      </w:r>
      <w:r>
        <w:t>, using the community information the Organization provides.</w:t>
      </w:r>
    </w:p>
    <w:p>
      <w:pPr>
        <w:pStyle w:val="ListNumber"/>
      </w:pPr>
      <w:r>
        <w:rPr>
          <w:b/>
        </w:rPr>
        <w:t>Customization of the site's look</w:t>
      </w:r>
      <w:r>
        <w:t xml:space="preserve"> (name, logo and colors) so that learners experience it as the Organization's own site, "powered by vAI".</w:t>
      </w:r>
    </w:p>
    <w:p>
      <w:pPr>
        <w:pStyle w:val="ListNumber"/>
      </w:pPr>
      <w:r>
        <w:rPr>
          <w:b/>
        </w:rPr>
        <w:t>Reports:</w:t>
      </w:r>
      <w:r>
        <w:t xml:space="preserve"> daily usage reports; monthly learner progress reports; and monthly longitudinal results for the Organization's learners.</w:t>
      </w:r>
    </w:p>
    <w:p>
      <w:pPr>
        <w:pStyle w:val="ListNumber"/>
      </w:pPr>
      <w:r>
        <w:rPr>
          <w:b/>
        </w:rPr>
        <w:t>Mentoring services:</w:t>
      </w:r>
      <w:r>
        <w:t xml:space="preserve"> (a) helping the Organization's leaders build on-the-ground structures and practices; (b) mentoring leaders in managing and leading students; and (c) mentoring advanced learners and leaders in how to work with AI. The mentoring arrangement is in clause 5.</w:t>
      </w:r>
    </w:p>
    <w:p>
      <w:pPr>
        <w:pStyle w:val="ListNumber"/>
      </w:pPr>
      <w:r>
        <w:rPr>
          <w:b/>
        </w:rPr>
        <w:t>Safeguards and support:</w:t>
      </w:r>
      <w:r>
        <w:t xml:space="preserve"> the protections for children described in clause 8, and help from vAI when the Organization has a question or a problem.</w:t>
      </w:r>
    </w:p>
    <w:p>
      <w:r>
        <w:t xml:space="preserve">There is </w:t>
      </w:r>
      <w:r>
        <w:rPr>
          <w:b/>
        </w:rPr>
        <w:t>no subscription fee</w:t>
      </w:r>
      <w:r>
        <w:t xml:space="preserve"> for the platform.</w:t>
      </w:r>
    </w:p>
    <w:p>
      <w:pPr>
        <w:pStyle w:val="Heading2"/>
      </w:pPr>
      <w:r>
        <w:t>3. What the Organization provides</w:t>
      </w:r>
    </w:p>
    <w:p>
      <w:pPr>
        <w:pStyle w:val="ListNumber"/>
      </w:pPr>
      <w:r>
        <w:rPr>
          <w:b/>
        </w:rPr>
        <w:t>A place and equipment:</w:t>
      </w:r>
      <w:r>
        <w:t xml:space="preserve"> a safe, supervised space; computers (or tablets) that run a modern web browser; reliable internet; and a power plan. (For reference, one Starlink connection has been enough for a lab of 14 computers working at once.)</w:t>
      </w:r>
    </w:p>
    <w:p>
      <w:pPr>
        <w:pStyle w:val="ListNumber"/>
      </w:pPr>
      <w:r>
        <w:rPr>
          <w:b/>
        </w:rPr>
        <w:t>People:</w:t>
      </w:r>
      <w:r>
        <w:t xml:space="preserve"> a </w:t>
      </w:r>
      <w:r>
        <w:rPr>
          <w:b/>
        </w:rPr>
        <w:t>lead mentor</w:t>
      </w:r>
      <w:r>
        <w:t xml:space="preserve"> from the Organization who is present when learners are, one or more named </w:t>
      </w:r>
      <w:r>
        <w:rPr>
          <w:b/>
        </w:rPr>
        <w:t>site leaders</w:t>
      </w:r>
      <w:r>
        <w:t xml:space="preserve"> (one of them is the primary leader for the platform), and a named </w:t>
      </w:r>
      <w:r>
        <w:rPr>
          <w:b/>
        </w:rPr>
        <w:t>child safety officer</w:t>
      </w:r>
      <w:r>
        <w:t xml:space="preserve"> (required: the Organization will not enrol any child until one is named in Schedule B, has completed vAI's leader training and has signed the code of conduct). In Schedule B the Organization gives vAI the </w:t>
      </w:r>
      <w:r>
        <w:rPr>
          <w:b/>
        </w:rPr>
        <w:t>name and email of its site leader or leaders</w:t>
      </w:r>
      <w:r>
        <w:t xml:space="preserve"> and the </w:t>
      </w:r>
      <w:r>
        <w:rPr>
          <w:b/>
        </w:rPr>
        <w:t>name, email and WhatsApp number of its child safety officer</w:t>
      </w:r>
      <w:r>
        <w:t xml:space="preserve">, and tells vAI at once if any of them changes.</w:t>
      </w:r>
    </w:p>
    <w:p>
      <w:pPr>
        <w:pStyle w:val="ListNumber"/>
      </w:pPr>
      <w:r>
        <w:rPr>
          <w:b/>
        </w:rPr>
        <w:t>Learners chosen by the Organization.</w:t>
      </w:r>
      <w:r>
        <w:t xml:space="preserve"> The Organization knows its young people; vAI does not choose them.</w:t>
      </w:r>
    </w:p>
    <w:p>
      <w:pPr>
        <w:pStyle w:val="ListNumber"/>
      </w:pPr>
      <w:r>
        <w:rPr>
          <w:b/>
        </w:rPr>
        <w:t>Honest community information</w:t>
      </w:r>
      <w:r>
        <w:t xml:space="preserve"> for tailoring (livelihoods, challenges, hopes, assets).</w:t>
      </w:r>
    </w:p>
    <w:p>
      <w:pPr>
        <w:pStyle w:val="ListNumber"/>
      </w:pPr>
      <w:r>
        <w:rPr>
          <w:b/>
        </w:rPr>
        <w:t>Parent or guardian consent:</w:t>
      </w:r>
      <w:r>
        <w:t xml:space="preserve"> a signed consent form for every learner under 18, collected before the learner is approved (clause 8).</w:t>
      </w:r>
    </w:p>
    <w:p>
      <w:pPr>
        <w:pStyle w:val="ListNumber"/>
      </w:pPr>
      <w:r>
        <w:rPr>
          <w:b/>
        </w:rPr>
        <w:t>Support for AI usage costs</w:t>
      </w:r>
      <w:r>
        <w:t xml:space="preserve"> (clause 4) and, ideally, modest support for the mentoring services (clause 5).</w:t>
      </w:r>
    </w:p>
    <w:p>
      <w:pPr>
        <w:pStyle w:val="ListNumber"/>
      </w:pPr>
      <w:r>
        <w:rPr>
          <w:b/>
        </w:rPr>
        <w:t>Following the safeguarding rules</w:t>
      </w:r>
      <w:r>
        <w:t xml:space="preserve"> in clause 8 and Schedule E.</w:t>
      </w:r>
    </w:p>
    <w:p>
      <w:pPr>
        <w:pStyle w:val="Heading2"/>
      </w:pPr>
      <w:r>
        <w:t>4. AI usage costs</w:t>
      </w:r>
    </w:p>
    <w:p>
      <w:pPr>
        <w:pStyle w:val="ListNumber"/>
      </w:pPr>
      <w:r>
        <w:t xml:space="preserve">AI services are the one real running cost. vAI uses </w:t>
      </w:r>
      <w:r>
        <w:rPr>
          <w:b/>
        </w:rPr>
        <w:t>free-tier AI services first</w:t>
      </w:r>
      <w:r>
        <w:t xml:space="preserve"> and uses paid services only when the free tier cannot serve the request. This keeps costs low.</w:t>
      </w:r>
    </w:p>
    <w:p>
      <w:pPr>
        <w:pStyle w:val="ListNumber"/>
      </w:pPr>
      <w:r>
        <w:t xml:space="preserve">The Organization will </w:t>
      </w:r>
      <w:r>
        <w:rPr>
          <w:b/>
        </w:rPr>
        <w:t>fund AI usage costs for its own learners.</w:t>
      </w:r>
      <w:r>
        <w:t xml:space="preserve"> The current estimate is </w:t>
      </w:r>
      <w:r>
        <w:rPr>
          <w:b/>
        </w:rPr>
        <w:t>US$0.20 to US$0.60 per active learner per day</w:t>
      </w:r>
      <w:r>
        <w:t xml:space="preserve"> (an "active learner" is one who used the platform's AI that day). For comparison, the Oloibiri lab's measured cost between July and October 2026 was about US$2 to US$3 per day for the whole lab. A small first cohort costs far less than a full lab.</w:t>
      </w:r>
    </w:p>
    <w:p>
      <w:pPr>
        <w:pStyle w:val="ListNumber"/>
      </w:pPr>
      <w:r>
        <w:rPr>
          <w:b/>
        </w:rPr>
        <w:t>How it works:</w:t>
      </w:r>
      <w:r>
        <w:t xml:space="preserve"> [choose one: (a) vAI sends a monthly statement of the actual cost for the Organization's learners, with no markup, and the Organization pays within 30 days; or (b) the Organization pays a fixed monthly amount agreed in Schedule C, reviewed every three months against actual cost.] A monthly </w:t>
      </w:r>
      <w:r>
        <w:rPr>
          <w:b/>
        </w:rPr>
        <w:t>spending ceiling</w:t>
      </w:r>
      <w:r>
        <w:t xml:space="preserve"> is set in Schedule C; vAI will tell the Organization before it is reached, and will not exceed it without written agreement.</w:t>
      </w:r>
    </w:p>
    <w:p>
      <w:pPr>
        <w:pStyle w:val="ListNumber"/>
      </w:pPr>
      <w:r>
        <w:t>If the Organization is raising funds, vAI will help look for joint funding. Funding for AI costs may come from the Organization, donors or a mix. The Organization stays responsible unless a funder is named in writing in Schedule C.</w:t>
      </w:r>
    </w:p>
    <w:p>
      <w:pPr>
        <w:pStyle w:val="ListNumber"/>
      </w:pPr>
      <w:r>
        <w:t>Computers, internet, power, the lab space and the lead mentor's stipend are the Organization's own costs.</w:t>
      </w:r>
    </w:p>
    <w:p>
      <w:pPr>
        <w:pStyle w:val="Heading2"/>
      </w:pPr>
      <w:r>
        <w:t>5. Mentoring services and support</w:t>
      </w:r>
    </w:p>
    <w:p>
      <w:pPr>
        <w:pStyle w:val="ListNumber"/>
      </w:pPr>
      <w:r>
        <w:t xml:space="preserve">vAI will assign a </w:t>
      </w:r>
      <w:r>
        <w:rPr>
          <w:b/>
        </w:rPr>
        <w:t>mentor of mentors</w:t>
      </w:r>
      <w:r>
        <w:t xml:space="preserve">, a young adult from the vAI network trained to develop mentors and young people in technology skills. At the start this person mentors the Organization's lead mentor for </w:t>
      </w:r>
      <w:r>
        <w:rPr>
          <w:b/>
        </w:rPr>
        <w:t>about five hours per week and never more</w:t>
      </w:r>
      <w:r>
        <w:t xml:space="preserve">. The arrangement should be needed for </w:t>
      </w:r>
      <w:r>
        <w:rPr>
          <w:b/>
        </w:rPr>
        <w:t>no more than twelve months</w:t>
      </w:r>
      <w:r>
        <w:t>, by which time the Organization has its own capability.</w:t>
      </w:r>
    </w:p>
    <w:p>
      <w:pPr>
        <w:pStyle w:val="ListNumber"/>
      </w:pPr>
      <w:r>
        <w:t>vAI also offers mentoring for advanced learners and leaders in working with AI, and help building the Organization's structure (roles, schedule, recruiting, reporting).</w:t>
      </w:r>
    </w:p>
    <w:p>
      <w:pPr>
        <w:pStyle w:val="ListNumber"/>
      </w:pPr>
      <w:r>
        <w:rPr>
          <w:b/>
        </w:rPr>
        <w:t>Modest support</w:t>
      </w:r>
      <w:r>
        <w:t xml:space="preserve"> from the Organization for these services helps the new community get started: the amount, if any, is in Schedule C. Where support is not possible, vAI and the Organization will discuss alternatives; the lack of funds alone will not end the partnership.</w:t>
      </w:r>
    </w:p>
    <w:p>
      <w:pPr>
        <w:pStyle w:val="ListNumber"/>
      </w:pPr>
      <w:r>
        <w:t xml:space="preserve">The Organization will provide a </w:t>
      </w:r>
      <w:r>
        <w:rPr>
          <w:b/>
        </w:rPr>
        <w:t>stipend or other recognition for its own lead mentor</w:t>
      </w:r>
      <w:r>
        <w:t>, because the mentor's presence is the main factor in whether learners stay engaged.</w:t>
      </w:r>
    </w:p>
    <w:p>
      <w:pPr>
        <w:pStyle w:val="Heading2"/>
      </w:pPr>
      <w:r>
        <w:t>6. Customization, branding and intellectual property</w:t>
      </w:r>
    </w:p>
    <w:p>
      <w:pPr>
        <w:pStyle w:val="ListNumber"/>
      </w:pPr>
      <w:r>
        <w:t xml:space="preserve">The Organization keeps ownership of its </w:t>
      </w:r>
      <w:r>
        <w:rPr>
          <w:b/>
        </w:rPr>
        <w:t>name, logo and marks</w:t>
      </w:r>
      <w:r>
        <w:t>, and gives vAI permission to use them on the Organization's version of the site and in vAI's reports and public description of the partnership (with the Organization's approval of any public use).</w:t>
      </w:r>
    </w:p>
    <w:p>
      <w:pPr>
        <w:pStyle w:val="ListNumber"/>
      </w:pPr>
      <w:r>
        <w:t xml:space="preserve">vAI keeps ownership of the </w:t>
      </w:r>
      <w:r>
        <w:rPr>
          <w:b/>
        </w:rPr>
        <w:t>platform, software and learning modules.</w:t>
      </w:r>
      <w:r>
        <w:t xml:space="preserve"> The Organization receives a non-exclusive right to use them during this agreement for its learners.</w:t>
      </w:r>
    </w:p>
    <w:p>
      <w:pPr>
        <w:pStyle w:val="ListNumber"/>
      </w:pPr>
      <w:r>
        <w:t>Content written specifically for the Organization's community is available to the Organization during this agreement and afterward for non-commercial educational use in its own community.</w:t>
      </w:r>
    </w:p>
    <w:p>
      <w:pPr>
        <w:pStyle w:val="ListNumber"/>
      </w:pPr>
      <w:r>
        <w:t>A learner's own work belongs to the learner. The learner and the Organization may use it; vAI may use it only as described in the signed parent forms (for example, anonymous research or, with specific permission, public recognition).</w:t>
      </w:r>
    </w:p>
    <w:p>
      <w:pPr>
        <w:pStyle w:val="Heading2"/>
      </w:pPr>
      <w:r>
        <w:t>7. Reports and measurement</w:t>
      </w:r>
    </w:p>
    <w:p>
      <w:r>
        <w:t xml:space="preserve">vAI will make available the reports in clause 2.5. The Organization's leaders can see </w:t>
      </w:r>
      <w:r>
        <w:rPr>
          <w:b/>
        </w:rPr>
        <w:t>only</w:t>
      </w:r>
      <w:r>
        <w:t xml:space="preserve"> their own learners' information. Learning is measured against published rubrics; certifications are taken without AI assistance. The Organization agrees to share the results with its learners and families.</w:t>
      </w:r>
    </w:p>
    <w:p>
      <w:pPr>
        <w:pStyle w:val="Heading2"/>
      </w:pPr>
      <w:r>
        <w:t>8. Protecting children and data</w:t>
      </w:r>
    </w:p>
    <w:p>
      <w:pPr>
        <w:pStyle w:val="ListNumber"/>
      </w:pPr>
      <w:r>
        <w:rPr>
          <w:b/>
        </w:rPr>
        <w:t>Roles.</w:t>
      </w:r>
      <w:r>
        <w:t xml:space="preserve"> For learners' information, the </w:t>
      </w:r>
      <w:r>
        <w:rPr>
          <w:b/>
        </w:rPr>
        <w:t>Organization</w:t>
      </w:r>
      <w:r>
        <w:t xml:space="preserve"> (which knows the learners and families) and </w:t>
      </w:r>
      <w:r>
        <w:rPr>
          <w:b/>
        </w:rPr>
        <w:t>vAI</w:t>
      </w:r>
      <w:r>
        <w:t xml:space="preserve"> (which runs the platform) each have responsibilities under the data protection laws that apply (for example Nigeria's Data Protection Act 2023, Kenya's Data Protection Act 2019, Ghana's Data Protection Act 2012, or the law of the Organization's own country, and the US children's privacy rule where it applies). The Organization tells vAI which law and regulator apply (Schedule B), and the two sides will follow whichever is stricter. If the law requires the Organization to </w:t>
      </w:r>
      <w:r>
        <w:rPr>
          <w:b/>
        </w:rPr>
        <w:t>register</w:t>
      </w:r>
      <w:r>
        <w:t xml:space="preserve"> with its data protection regulator, the Organization will do so. Schedule D lists them. Community data belongs to the community.</w:t>
      </w:r>
    </w:p>
    <w:p>
      <w:pPr>
        <w:pStyle w:val="ListNumber"/>
      </w:pPr>
      <w:r>
        <w:rPr>
          <w:b/>
        </w:rPr>
        <w:t>Consent.</w:t>
      </w:r>
      <w:r>
        <w:t xml:space="preserve"> The Organization will collect a </w:t>
      </w:r>
      <w:r>
        <w:rPr>
          <w:b/>
        </w:rPr>
        <w:t>signed parent or guardian consent form</w:t>
      </w:r>
      <w:r>
        <w:t xml:space="preserve"> (the form supplied by vAI, or one vAI has approved) for </w:t>
      </w:r>
      <w:r>
        <w:rPr>
          <w:b/>
        </w:rPr>
        <w:t>every learner under 18</w:t>
      </w:r>
      <w:r>
        <w:t xml:space="preserve"> before approving that learner on the platform, will keep the signed original safely, and will record the consent on the platform. A form that only covers pictures or media is </w:t>
      </w:r>
      <w:r>
        <w:rPr>
          <w:b/>
        </w:rPr>
        <w:t>not</w:t>
      </w:r>
      <w:r>
        <w:t xml:space="preserve"> enough; it must cover use of the platform, the AI services and storage in the United States.</w:t>
      </w:r>
    </w:p>
    <w:p>
      <w:pPr>
        <w:pStyle w:val="ListNumber"/>
      </w:pPr>
      <w:r>
        <w:rPr>
          <w:b/>
        </w:rPr>
        <w:t>Younger learners.</w:t>
      </w:r>
      <w:r>
        <w:t xml:space="preserve"> Children under 13 get extra protections on the platform. vAI will not exclude them, but each needs guardian consent and a supervising adult.</w:t>
      </w:r>
    </w:p>
    <w:p>
      <w:pPr>
        <w:pStyle w:val="ListNumber"/>
      </w:pPr>
      <w:r>
        <w:rPr>
          <w:b/>
        </w:rPr>
        <w:t>Safeguards.</w:t>
      </w:r>
      <w:r>
        <w:t xml:space="preserve"> Information is stored in the United States, protected by access controls, removed on a schedule, and cleaned of names and contact details before it reaches AI services. vAI keeps a written list of its service providers and will give it to the Organization on request.</w:t>
      </w:r>
    </w:p>
    <w:p>
      <w:pPr>
        <w:pStyle w:val="ListNumber"/>
      </w:pPr>
      <w:r>
        <w:rPr>
          <w:b/>
        </w:rPr>
        <w:t>Breach.</w:t>
      </w:r>
      <w:r>
        <w:t xml:space="preserve"> Each side will tell the other </w:t>
      </w:r>
      <w:r>
        <w:rPr>
          <w:b/>
        </w:rPr>
        <w:t>within 24 hours</w:t>
      </w:r>
      <w:r>
        <w:t xml:space="preserve"> of learning of a problem that may affect learners' information, so that the deadline set by the Organization's country (72 hours to the regulator in Nigeria and Kenya) can be met.</w:t>
      </w:r>
    </w:p>
    <w:p>
      <w:pPr>
        <w:pStyle w:val="ListNumber"/>
      </w:pPr>
      <w:r>
        <w:rPr>
          <w:b/>
        </w:rPr>
        <w:t>Requests.</w:t>
      </w:r>
      <w:r>
        <w:t xml:space="preserve"> A parent, guardian or learner may ask to see, correct or delete information, or withdraw permission, in person to a leader, by email, or on the platform. The Organization will pass requests to vAI the same day; vAI replies within </w:t>
      </w:r>
      <w:r>
        <w:rPr>
          <w:b/>
        </w:rPr>
        <w:t>14 days</w:t>
      </w:r>
      <w:r>
        <w:t xml:space="preserve"> (7 days for a copy of information).</w:t>
      </w:r>
    </w:p>
    <w:p>
      <w:pPr>
        <w:pStyle w:val="ListNumber"/>
      </w:pPr>
      <w:r>
        <w:rPr>
          <w:b/>
        </w:rPr>
        <w:t>Research and public recognition</w:t>
      </w:r>
      <w:r>
        <w:t xml:space="preserve"> happen only as the signed parent forms allow.</w:t>
      </w:r>
    </w:p>
    <w:p>
      <w:pPr>
        <w:pStyle w:val="ListNumber"/>
      </w:pPr>
      <w:r>
        <w:rPr>
          <w:b/>
        </w:rPr>
        <w:t>Safety escalation.</w:t>
      </w:r>
      <w:r>
        <w:t xml:space="preserve"> If the platform flags a learner who may be at risk, the Organization's child safety officer will follow up the same day, in person and kindly, and follow its local child-protection duty first.</w:t>
      </w:r>
    </w:p>
    <w:p>
      <w:pPr>
        <w:pStyle w:val="ListNumber"/>
      </w:pPr>
      <w:r>
        <w:t xml:space="preserve">The Organization's leaders will follow the rules in </w:t>
      </w:r>
      <w:r>
        <w:rPr>
          <w:b/>
        </w:rPr>
        <w:t>Schedule E</w:t>
      </w:r>
      <w:r>
        <w:t xml:space="preserve"> and the vAI </w:t>
      </w:r>
      <w:r>
        <w:rPr>
          <w:b/>
        </w:rPr>
        <w:t>leader guide</w:t>
      </w:r>
      <w:r>
        <w:t>.</w:t>
      </w:r>
    </w:p>
    <w:p>
      <w:pPr>
        <w:pStyle w:val="Heading2"/>
      </w:pPr>
      <w:r>
        <w:t>9. Support for the next village</w:t>
      </w:r>
    </w:p>
    <w:p>
      <w:r>
        <w:t>The Organization intends, once it has built its capability, to help mentor another community that wants to start. This is an intention, not an obligation, and vAI will help the Organization prepare for it.</w:t>
      </w:r>
    </w:p>
    <w:p>
      <w:pPr>
        <w:pStyle w:val="Heading2"/>
      </w:pPr>
      <w:r>
        <w:t>10. Term and ending</w:t>
      </w:r>
    </w:p>
    <w:p>
      <w:pPr>
        <w:pStyle w:val="ListNumber"/>
      </w:pPr>
      <w:r>
        <w:t xml:space="preserve">This agreement starts on </w:t>
      </w:r>
      <w:r>
        <w:rPr>
          <w:b/>
        </w:rPr>
        <w:t>[start date]</w:t>
      </w:r>
      <w:r>
        <w:t xml:space="preserve"> and runs for </w:t>
      </w:r>
      <w:r>
        <w:rPr>
          <w:b/>
        </w:rPr>
        <w:t>[12] months</w:t>
      </w:r>
      <w:r>
        <w:t xml:space="preserve">, then renews for the same period unless either side gives </w:t>
      </w:r>
      <w:r>
        <w:rPr>
          <w:b/>
        </w:rPr>
        <w:t>30 days' written notice</w:t>
      </w:r>
      <w:r>
        <w:t xml:space="preserve"> not to renew.</w:t>
      </w:r>
    </w:p>
    <w:p>
      <w:pPr>
        <w:pStyle w:val="ListNumber"/>
      </w:pPr>
      <w:r>
        <w:t xml:space="preserve">Either side may end it at any time with </w:t>
      </w:r>
      <w:r>
        <w:rPr>
          <w:b/>
        </w:rPr>
        <w:t>30 days' written notice</w:t>
      </w:r>
      <w:r>
        <w:t>.</w:t>
      </w:r>
    </w:p>
    <w:p>
      <w:pPr>
        <w:pStyle w:val="ListNumber"/>
      </w:pPr>
      <w:r>
        <w:t>vAI may suspend access immediately if a learner may be at serious risk or if the safeguards in clause 8 are not being followed, and will explain why in writing.</w:t>
      </w:r>
    </w:p>
    <w:p>
      <w:pPr>
        <w:pStyle w:val="ListNumber"/>
      </w:pPr>
      <w:r>
        <w:t xml:space="preserve">When the agreement ends, vAI will, at the Organization's choice, give the Organization a copy of its learners' progress records and then delete or anonymize the learners' personal information within </w:t>
      </w:r>
      <w:r>
        <w:rPr>
          <w:b/>
        </w:rPr>
        <w:t>30 days</w:t>
      </w:r>
      <w:r>
        <w:t>, except records vAI must keep by law. AI costs up to the end date remain payable.</w:t>
      </w:r>
    </w:p>
    <w:p>
      <w:pPr>
        <w:pStyle w:val="Heading2"/>
      </w:pPr>
      <w:r>
        <w:t>11. Conduct and safeguarding</w:t>
      </w:r>
    </w:p>
    <w:p>
      <w:r>
        <w:t>Adults who work with learners will not be alone with a child in a private setting, will not exchange private messages with a child outside the platform or program channels, and will report any concern about a child's safety to the child safety officer the same day. The Organization will take appropriate local steps to check the suitability of adults who work with learners.</w:t>
      </w:r>
    </w:p>
    <w:p>
      <w:pPr>
        <w:pStyle w:val="Heading2"/>
      </w:pPr>
      <w:r>
        <w:t>12. No promises about results, and limits</w:t>
      </w:r>
    </w:p>
    <w:p>
      <w:pPr>
        <w:pStyle w:val="ListNumber"/>
      </w:pPr>
      <w:r>
        <w:t xml:space="preserve">vAI and the Organization will work in good faith, but the platform is provided </w:t>
      </w:r>
      <w:r>
        <w:rPr>
          <w:b/>
        </w:rPr>
        <w:t>as is</w:t>
      </w:r>
      <w:r>
        <w:t>. AI tools can be wrong, and learners are taught to check them.</w:t>
      </w:r>
    </w:p>
    <w:p>
      <w:pPr>
        <w:pStyle w:val="ListNumber"/>
      </w:pPr>
      <w:r>
        <w:t xml:space="preserve">Neither side is liable to the other for indirect or consequential loss. vAI's total liability under this agreement is limited to the amounts the Organization has paid under clause 4 in the previous twelve months. </w:t>
      </w:r>
      <w:r>
        <w:rPr>
          <w:b/>
        </w:rPr>
        <w:t>[Lawyer to confirm for the countries involved.]</w:t>
      </w:r>
    </w:p>
    <w:p>
      <w:pPr>
        <w:pStyle w:val="ListNumber"/>
      </w:pPr>
      <w:r>
        <w:t>Nothing in this agreement limits liability that cannot be limited by law.</w:t>
      </w:r>
    </w:p>
    <w:p>
      <w:pPr>
        <w:pStyle w:val="Heading2"/>
      </w:pPr>
      <w:r>
        <w:t>13. Disagreements and governing law</w:t>
      </w:r>
    </w:p>
    <w:p>
      <w:r>
        <w:t xml:space="preserve">The two sides will first try to settle a disagreement by talking, then by a neutral mediator both agree on. This agreement is governed by the law of </w:t>
      </w:r>
      <w:r>
        <w:rPr>
          <w:b/>
        </w:rPr>
        <w:t>[governing law, for example the State of Ohio, USA, or the Organization's country such as Nigeria, Kenya or Ghana; to be agreed]</w:t>
      </w:r>
      <w:r>
        <w:t xml:space="preserve">. </w:t>
      </w:r>
      <w:r>
        <w:rPr>
          <w:b/>
        </w:rPr>
        <w:t>[Lawyer to confirm.]</w:t>
      </w:r>
    </w:p>
    <w:p>
      <w:pPr>
        <w:pStyle w:val="Heading2"/>
      </w:pPr>
      <w:r>
        <w:t>14. General</w:t>
      </w:r>
    </w:p>
    <w:p>
      <w:pPr>
        <w:pStyle w:val="ListNumber"/>
      </w:pPr>
      <w:r>
        <w:rPr>
          <w:b/>
        </w:rPr>
        <w:t>Assignment.</w:t>
      </w:r>
      <w:r>
        <w:t xml:space="preserve"> Neither side may assign this agreement without the other's written consent.</w:t>
      </w:r>
    </w:p>
    <w:p>
      <w:pPr>
        <w:pStyle w:val="ListNumber"/>
      </w:pPr>
      <w:r>
        <w:rPr>
          <w:b/>
        </w:rPr>
        <w:t>Whole agreement; changes in writing.</w:t>
      </w:r>
      <w:r>
        <w:t xml:space="preserve"> This agreement and its Schedules are the whole agreement. Changes must be in writing and signed by both sides.</w:t>
      </w:r>
    </w:p>
    <w:p>
      <w:pPr>
        <w:pStyle w:val="ListNumber"/>
      </w:pPr>
      <w:r>
        <w:rPr>
          <w:b/>
        </w:rPr>
        <w:t>Notices</w:t>
      </w:r>
      <w:r>
        <w:t xml:space="preserve"> may be by email to the addresses in Schedule B.</w:t>
      </w:r>
    </w:p>
    <w:p>
      <w:pPr>
        <w:pStyle w:val="ListNumber"/>
      </w:pPr>
      <w:r>
        <w:rPr>
          <w:b/>
        </w:rPr>
        <w:t>Counterparts and copies.</w:t>
      </w:r>
      <w:r>
        <w:t xml:space="preserve"> Signed copies (including scans or photos) count.</w:t>
      </w:r>
    </w:p>
    <w:p>
      <w:pPr>
        <w:pStyle w:val="ListNumber"/>
      </w:pPr>
      <w:r>
        <w:t>If a clause cannot be enforced, the rest still applies.</w:t>
      </w:r>
    </w:p>
    <w:p>
      <w:pPr>
        <w:pStyle w:val="Heading2"/>
      </w:pPr>
      <w:r>
        <w:t>Signatures</w:t>
      </w:r>
    </w:p>
    <w:p>
      <w:r>
        <w:t xml:space="preserve">For </w:t>
      </w:r>
      <w:r>
        <w:rPr>
          <w:b/>
        </w:rPr>
        <w:t>vAI</w:t>
      </w:r>
      <w:r>
        <w:t>: ______________________  Name: Mr. Bennywhite Davidson   Title: Leader, Davidson AI Futures Lab Date: ____________</w:t>
      </w:r>
    </w:p>
    <w:p>
      <w:r>
        <w:t xml:space="preserve">For the </w:t>
      </w:r>
      <w:r>
        <w:rPr>
          <w:b/>
        </w:rPr>
        <w:t>Organization</w:t>
      </w:r>
      <w:r>
        <w:t>: ______________________  Name: ______________________   Title: ____________ Date: ____________</w:t>
      </w:r>
    </w:p>
    <w:p>
      <w:pPr>
        <w:pStyle w:val="Heading2"/>
      </w:pPr>
      <w:r>
        <w:t>Schedule A. Services in detail</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Service</w:t>
            </w:r>
          </w:p>
        </w:tc>
        <w:tc>
          <w:tcPr>
            <w:tcW w:type="dxa" w:w="4706"/>
            <w:shd w:val="clear" w:color="auto" w:fill="E3EBF4"/>
          </w:tcPr>
          <w:p>
            <w:r>
              <w:rPr>
                <w:b/>
                <w:sz w:val="18"/>
              </w:rPr>
            </w:r>
            <w:r>
              <w:rPr>
                <w:b/>
                <w:sz w:val="18"/>
              </w:rPr>
              <w:t>What it includes</w:t>
            </w:r>
          </w:p>
        </w:tc>
      </w:tr>
      <w:tr>
        <w:tc>
          <w:tcPr>
            <w:tcW w:type="dxa" w:w="4706"/>
          </w:tcPr>
          <w:p>
            <w:r>
              <w:rPr>
                <w:sz w:val="18"/>
              </w:rPr>
            </w:r>
            <w:r>
              <w:rPr>
                <w:b/>
                <w:sz w:val="18"/>
              </w:rPr>
              <w:t>Platform access</w:t>
            </w:r>
          </w:p>
        </w:tc>
        <w:tc>
          <w:tcPr>
            <w:tcW w:type="dxa" w:w="4706"/>
          </w:tcPr>
          <w:p>
            <w:r>
              <w:rPr>
                <w:sz w:val="18"/>
              </w:rPr>
            </w:r>
            <w:r>
              <w:rPr>
                <w:sz w:val="18"/>
              </w:rPr>
              <w:t>Accounts for learners and leaders; learning pathways (AI Proficiency, Foundations in English, Mathematics and Science, Tech Skills, AI Creative Studio, Community Impact AI); safe AI tutor; certifications.</w:t>
            </w:r>
          </w:p>
        </w:tc>
      </w:tr>
      <w:tr>
        <w:tc>
          <w:tcPr>
            <w:tcW w:type="dxa" w:w="4706"/>
          </w:tcPr>
          <w:p>
            <w:r>
              <w:rPr>
                <w:sz w:val="18"/>
              </w:rPr>
            </w:r>
            <w:r>
              <w:rPr>
                <w:b/>
                <w:sz w:val="18"/>
              </w:rPr>
              <w:t>Organization view and admin dashboard</w:t>
            </w:r>
          </w:p>
        </w:tc>
        <w:tc>
          <w:tcPr>
            <w:tcW w:type="dxa" w:w="4706"/>
          </w:tcPr>
          <w:p>
            <w:r>
              <w:rPr>
                <w:sz w:val="18"/>
              </w:rPr>
            </w:r>
            <w:r>
              <w:rPr>
                <w:sz w:val="18"/>
              </w:rPr>
              <w:t>A private view for the Organization's learners and leaders; join code for enrollment; leader approval of members; dashboard of learner progress; community challenges visible only to the Organization's learners.</w:t>
            </w:r>
          </w:p>
        </w:tc>
      </w:tr>
      <w:tr>
        <w:tc>
          <w:tcPr>
            <w:tcW w:type="dxa" w:w="4706"/>
          </w:tcPr>
          <w:p>
            <w:r>
              <w:rPr>
                <w:sz w:val="18"/>
              </w:rPr>
            </w:r>
            <w:r>
              <w:rPr>
                <w:b/>
                <w:sz w:val="18"/>
              </w:rPr>
              <w:t>Local tailoring</w:t>
            </w:r>
          </w:p>
        </w:tc>
        <w:tc>
          <w:tcPr>
            <w:tcW w:type="dxa" w:w="4706"/>
          </w:tcPr>
          <w:p>
            <w:r>
              <w:rPr>
                <w:sz w:val="18"/>
              </w:rPr>
            </w:r>
            <w:r>
              <w:rPr>
                <w:sz w:val="18"/>
              </w:rPr>
              <w:t>Learning modules and community-impact challenges written for the Organization's town or region from the community information provided, matched in structure to existing communities. Done once early by vAI.</w:t>
            </w:r>
          </w:p>
        </w:tc>
      </w:tr>
      <w:tr>
        <w:tc>
          <w:tcPr>
            <w:tcW w:type="dxa" w:w="4706"/>
          </w:tcPr>
          <w:p>
            <w:r>
              <w:rPr>
                <w:sz w:val="18"/>
              </w:rPr>
            </w:r>
            <w:r>
              <w:rPr>
                <w:b/>
                <w:sz w:val="18"/>
              </w:rPr>
              <w:t>Site customization</w:t>
            </w:r>
          </w:p>
        </w:tc>
        <w:tc>
          <w:tcPr>
            <w:tcW w:type="dxa" w:w="4706"/>
          </w:tcPr>
          <w:p>
            <w:r>
              <w:rPr>
                <w:sz w:val="18"/>
              </w:rPr>
            </w:r>
            <w:r>
              <w:rPr>
                <w:sz w:val="18"/>
              </w:rPr>
              <w:t>The Organization's name, logo and colors on its version of the site, "powered by vAI".</w:t>
            </w:r>
          </w:p>
        </w:tc>
      </w:tr>
      <w:tr>
        <w:tc>
          <w:tcPr>
            <w:tcW w:type="dxa" w:w="4706"/>
          </w:tcPr>
          <w:p>
            <w:r>
              <w:rPr>
                <w:sz w:val="18"/>
              </w:rPr>
            </w:r>
            <w:r>
              <w:rPr>
                <w:b/>
                <w:sz w:val="18"/>
              </w:rPr>
              <w:t>Reports</w:t>
            </w:r>
          </w:p>
        </w:tc>
        <w:tc>
          <w:tcPr>
            <w:tcW w:type="dxa" w:w="4706"/>
          </w:tcPr>
          <w:p>
            <w:r>
              <w:rPr>
                <w:sz w:val="18"/>
              </w:rPr>
            </w:r>
            <w:r>
              <w:rPr>
                <w:sz w:val="18"/>
              </w:rPr>
              <w:t>Daily usage reports; monthly learner progress reports; monthly longitudinal results by learner.</w:t>
            </w:r>
          </w:p>
        </w:tc>
      </w:tr>
      <w:tr>
        <w:tc>
          <w:tcPr>
            <w:tcW w:type="dxa" w:w="4706"/>
          </w:tcPr>
          <w:p>
            <w:r>
              <w:rPr>
                <w:sz w:val="18"/>
              </w:rPr>
            </w:r>
            <w:r>
              <w:rPr>
                <w:b/>
                <w:sz w:val="18"/>
              </w:rPr>
              <w:t>Mentoring</w:t>
            </w:r>
          </w:p>
        </w:tc>
        <w:tc>
          <w:tcPr>
            <w:tcW w:type="dxa" w:w="4706"/>
          </w:tcPr>
          <w:p>
            <w:r>
              <w:rPr>
                <w:sz w:val="18"/>
              </w:rPr>
            </w:r>
            <w:r>
              <w:rPr>
                <w:sz w:val="18"/>
              </w:rPr>
              <w:t>Leader-structure mentoring; mentoring in leading and managing students; mentoring for advanced learners and leaders in working with AI; the mentor of mentors (clause 5).</w:t>
            </w:r>
          </w:p>
        </w:tc>
      </w:tr>
      <w:tr>
        <w:tc>
          <w:tcPr>
            <w:tcW w:type="dxa" w:w="4706"/>
          </w:tcPr>
          <w:p>
            <w:r>
              <w:rPr>
                <w:sz w:val="18"/>
              </w:rPr>
            </w:r>
            <w:r>
              <w:rPr>
                <w:b/>
                <w:sz w:val="18"/>
              </w:rPr>
              <w:t>Safeguards</w:t>
            </w:r>
          </w:p>
        </w:tc>
        <w:tc>
          <w:tcPr>
            <w:tcW w:type="dxa" w:w="4706"/>
          </w:tcPr>
          <w:p>
            <w:r>
              <w:rPr>
                <w:sz w:val="18"/>
              </w:rPr>
            </w:r>
            <w:r>
              <w:rPr>
                <w:sz w:val="18"/>
              </w:rPr>
              <w:t>Under-13 protections; consent recording; nightly deletion of old chat and media; AI safety flags to leaders; incident support; leader guide and training session.</w:t>
            </w:r>
          </w:p>
        </w:tc>
      </w:tr>
    </w:tbl>
    <w:p/>
    <w:p>
      <w:pPr>
        <w:pStyle w:val="Heading2"/>
      </w:pPr>
      <w:r>
        <w:t>Schedule B. About the Organization (the Organization completes this)</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Legal name and any registration number</w:t>
            </w:r>
          </w:p>
        </w:tc>
        <w:tc>
          <w:tcPr>
            <w:tcW w:type="dxa" w:w="4706"/>
            <w:shd w:val="clear" w:color="auto" w:fill="E3EBF4"/>
          </w:tcPr>
          <w:p>
            <w:r>
              <w:rPr>
                <w:b/>
                <w:sz w:val="18"/>
              </w:rPr>
            </w:r>
          </w:p>
        </w:tc>
      </w:tr>
      <w:tr>
        <w:tc>
          <w:tcPr>
            <w:tcW w:type="dxa" w:w="4706"/>
          </w:tcPr>
          <w:p>
            <w:r>
              <w:rPr>
                <w:sz w:val="18"/>
              </w:rPr>
            </w:r>
            <w:r>
              <w:rPr>
                <w:sz w:val="18"/>
              </w:rPr>
              <w:t>Address, city, state/province, country</w:t>
            </w:r>
          </w:p>
        </w:tc>
        <w:tc>
          <w:tcPr>
            <w:tcW w:type="dxa" w:w="4706"/>
          </w:tcPr>
          <w:p>
            <w:r>
              <w:rPr>
                <w:sz w:val="18"/>
              </w:rPr>
            </w:r>
          </w:p>
        </w:tc>
      </w:tr>
      <w:tr>
        <w:tc>
          <w:tcPr>
            <w:tcW w:type="dxa" w:w="4706"/>
          </w:tcPr>
          <w:p>
            <w:r>
              <w:rPr>
                <w:sz w:val="18"/>
              </w:rPr>
            </w:r>
            <w:r>
              <w:rPr>
                <w:b/>
                <w:sz w:val="18"/>
              </w:rPr>
              <w:t>Site leader or leaders (required)</w:t>
            </w:r>
            <w:r>
              <w:rPr>
                <w:sz w:val="18"/>
              </w:rPr>
              <w:t xml:space="preserve"> (name and email of each; mark the primary leader for the platform)</w:t>
            </w:r>
          </w:p>
        </w:tc>
        <w:tc>
          <w:tcPr>
            <w:tcW w:type="dxa" w:w="4706"/>
          </w:tcPr>
          <w:p>
            <w:r>
              <w:rPr>
                <w:sz w:val="18"/>
              </w:rPr>
            </w:r>
          </w:p>
        </w:tc>
      </w:tr>
      <w:tr>
        <w:tc>
          <w:tcPr>
            <w:tcW w:type="dxa" w:w="4706"/>
          </w:tcPr>
          <w:p>
            <w:r>
              <w:rPr>
                <w:sz w:val="18"/>
              </w:rPr>
            </w:r>
            <w:r>
              <w:rPr>
                <w:sz w:val="18"/>
              </w:rPr>
              <w:t>Lead mentor (name, email, WhatsApp/phone)</w:t>
            </w:r>
          </w:p>
        </w:tc>
        <w:tc>
          <w:tcPr>
            <w:tcW w:type="dxa" w:w="4706"/>
          </w:tcPr>
          <w:p>
            <w:r>
              <w:rPr>
                <w:sz w:val="18"/>
              </w:rPr>
            </w:r>
          </w:p>
        </w:tc>
      </w:tr>
      <w:tr>
        <w:tc>
          <w:tcPr>
            <w:tcW w:type="dxa" w:w="4706"/>
          </w:tcPr>
          <w:p>
            <w:r>
              <w:rPr>
                <w:sz w:val="18"/>
              </w:rPr>
            </w:r>
            <w:r>
              <w:rPr>
                <w:b/>
                <w:sz w:val="18"/>
              </w:rPr>
              <w:t>Child safety officer (required)</w:t>
            </w:r>
            <w:r>
              <w:rPr>
                <w:sz w:val="18"/>
              </w:rPr>
              <w:t xml:space="preserve"> (name, email and </w:t>
            </w:r>
            <w:r>
              <w:rPr>
                <w:b/>
                <w:sz w:val="18"/>
              </w:rPr>
              <w:t>WhatsApp number</w:t>
            </w:r>
            <w:r>
              <w:rPr>
                <w:sz w:val="18"/>
              </w:rPr>
              <w:t>)</w:t>
            </w:r>
          </w:p>
        </w:tc>
        <w:tc>
          <w:tcPr>
            <w:tcW w:type="dxa" w:w="4706"/>
          </w:tcPr>
          <w:p>
            <w:r>
              <w:rPr>
                <w:sz w:val="18"/>
              </w:rPr>
            </w:r>
          </w:p>
        </w:tc>
      </w:tr>
      <w:tr>
        <w:tc>
          <w:tcPr>
            <w:tcW w:type="dxa" w:w="4706"/>
          </w:tcPr>
          <w:p>
            <w:r>
              <w:rPr>
                <w:sz w:val="18"/>
              </w:rPr>
            </w:r>
            <w:r>
              <w:rPr>
                <w:sz w:val="18"/>
              </w:rPr>
              <w:t>Deputy child safety officer (name, email, WhatsApp/phone)</w:t>
            </w:r>
          </w:p>
        </w:tc>
        <w:tc>
          <w:tcPr>
            <w:tcW w:type="dxa" w:w="4706"/>
          </w:tcPr>
          <w:p>
            <w:r>
              <w:rPr>
                <w:sz w:val="18"/>
              </w:rPr>
            </w:r>
          </w:p>
        </w:tc>
      </w:tr>
      <w:tr>
        <w:tc>
          <w:tcPr>
            <w:tcW w:type="dxa" w:w="4706"/>
          </w:tcPr>
          <w:p>
            <w:r>
              <w:rPr>
                <w:sz w:val="18"/>
              </w:rPr>
            </w:r>
            <w:r>
              <w:rPr>
                <w:sz w:val="18"/>
              </w:rPr>
              <w:t>Contact for notices (email)</w:t>
            </w:r>
          </w:p>
        </w:tc>
        <w:tc>
          <w:tcPr>
            <w:tcW w:type="dxa" w:w="4706"/>
          </w:tcPr>
          <w:p>
            <w:r>
              <w:rPr>
                <w:sz w:val="18"/>
              </w:rPr>
            </w:r>
          </w:p>
        </w:tc>
      </w:tr>
      <w:tr>
        <w:tc>
          <w:tcPr>
            <w:tcW w:type="dxa" w:w="4706"/>
          </w:tcPr>
          <w:p>
            <w:r>
              <w:rPr>
                <w:sz w:val="18"/>
              </w:rPr>
            </w:r>
            <w:r>
              <w:rPr>
                <w:sz w:val="18"/>
              </w:rPr>
              <w:t>Learners: age range, approximate number in the first cohort, gender mix</w:t>
            </w:r>
          </w:p>
        </w:tc>
        <w:tc>
          <w:tcPr>
            <w:tcW w:type="dxa" w:w="4706"/>
          </w:tcPr>
          <w:p>
            <w:r>
              <w:rPr>
                <w:sz w:val="18"/>
              </w:rPr>
            </w:r>
          </w:p>
        </w:tc>
      </w:tr>
      <w:tr>
        <w:tc>
          <w:tcPr>
            <w:tcW w:type="dxa" w:w="4706"/>
          </w:tcPr>
          <w:p>
            <w:r>
              <w:rPr>
                <w:sz w:val="18"/>
              </w:rPr>
            </w:r>
            <w:r>
              <w:rPr>
                <w:sz w:val="18"/>
              </w:rPr>
              <w:t>Computers available now (number and type)</w:t>
            </w:r>
          </w:p>
        </w:tc>
        <w:tc>
          <w:tcPr>
            <w:tcW w:type="dxa" w:w="4706"/>
          </w:tcPr>
          <w:p>
            <w:r>
              <w:rPr>
                <w:sz w:val="18"/>
              </w:rPr>
            </w:r>
          </w:p>
        </w:tc>
      </w:tr>
      <w:tr>
        <w:tc>
          <w:tcPr>
            <w:tcW w:type="dxa" w:w="4706"/>
          </w:tcPr>
          <w:p>
            <w:r>
              <w:rPr>
                <w:sz w:val="18"/>
              </w:rPr>
            </w:r>
            <w:r>
              <w:rPr>
                <w:sz w:val="18"/>
              </w:rPr>
              <w:t>Internet (provider, speed, reliability)</w:t>
            </w:r>
          </w:p>
        </w:tc>
        <w:tc>
          <w:tcPr>
            <w:tcW w:type="dxa" w:w="4706"/>
          </w:tcPr>
          <w:p>
            <w:r>
              <w:rPr>
                <w:sz w:val="18"/>
              </w:rPr>
            </w:r>
          </w:p>
        </w:tc>
      </w:tr>
      <w:tr>
        <w:tc>
          <w:tcPr>
            <w:tcW w:type="dxa" w:w="4706"/>
          </w:tcPr>
          <w:p>
            <w:r>
              <w:rPr>
                <w:sz w:val="18"/>
              </w:rPr>
            </w:r>
            <w:r>
              <w:rPr>
                <w:sz w:val="18"/>
              </w:rPr>
              <w:t>Power (grid, solar, generator; hours per day)</w:t>
            </w:r>
          </w:p>
        </w:tc>
        <w:tc>
          <w:tcPr>
            <w:tcW w:type="dxa" w:w="4706"/>
          </w:tcPr>
          <w:p>
            <w:r>
              <w:rPr>
                <w:sz w:val="18"/>
              </w:rPr>
            </w:r>
          </w:p>
        </w:tc>
      </w:tr>
      <w:tr>
        <w:tc>
          <w:tcPr>
            <w:tcW w:type="dxa" w:w="4706"/>
          </w:tcPr>
          <w:p>
            <w:r>
              <w:rPr>
                <w:sz w:val="18"/>
              </w:rPr>
            </w:r>
            <w:r>
              <w:rPr>
                <w:sz w:val="18"/>
              </w:rPr>
              <w:t>Lab space (where, supervised by whom, opening hours)</w:t>
            </w:r>
          </w:p>
        </w:tc>
        <w:tc>
          <w:tcPr>
            <w:tcW w:type="dxa" w:w="4706"/>
          </w:tcPr>
          <w:p>
            <w:r>
              <w:rPr>
                <w:sz w:val="18"/>
              </w:rPr>
            </w:r>
          </w:p>
        </w:tc>
      </w:tr>
      <w:tr>
        <w:tc>
          <w:tcPr>
            <w:tcW w:type="dxa" w:w="4706"/>
          </w:tcPr>
          <w:p>
            <w:r>
              <w:rPr>
                <w:sz w:val="18"/>
              </w:rPr>
            </w:r>
            <w:r>
              <w:rPr>
                <w:sz w:val="18"/>
              </w:rPr>
              <w:t>Languages learners use; national curriculum or examinations to support (for example WAEC/WASSCE, KCSE)</w:t>
            </w:r>
          </w:p>
        </w:tc>
        <w:tc>
          <w:tcPr>
            <w:tcW w:type="dxa" w:w="4706"/>
          </w:tcPr>
          <w:p>
            <w:r>
              <w:rPr>
                <w:sz w:val="18"/>
              </w:rPr>
            </w:r>
          </w:p>
        </w:tc>
      </w:tr>
      <w:tr>
        <w:tc>
          <w:tcPr>
            <w:tcW w:type="dxa" w:w="4706"/>
          </w:tcPr>
          <w:p>
            <w:r>
              <w:rPr>
                <w:sz w:val="18"/>
              </w:rPr>
            </w:r>
            <w:r>
              <w:rPr>
                <w:sz w:val="18"/>
              </w:rPr>
              <w:t>Data protection law and regulator that apply in your country; are you registered with the regulator?</w:t>
            </w:r>
          </w:p>
        </w:tc>
        <w:tc>
          <w:tcPr>
            <w:tcW w:type="dxa" w:w="4706"/>
          </w:tcPr>
          <w:p>
            <w:r>
              <w:rPr>
                <w:sz w:val="18"/>
              </w:rPr>
            </w:r>
          </w:p>
        </w:tc>
      </w:tr>
      <w:tr>
        <w:tc>
          <w:tcPr>
            <w:tcW w:type="dxa" w:w="4706"/>
          </w:tcPr>
          <w:p>
            <w:r>
              <w:rPr>
                <w:sz w:val="18"/>
              </w:rPr>
            </w:r>
            <w:r>
              <w:rPr>
                <w:sz w:val="18"/>
              </w:rPr>
              <w:t>How people here make a living</w:t>
            </w:r>
          </w:p>
        </w:tc>
        <w:tc>
          <w:tcPr>
            <w:tcW w:type="dxa" w:w="4706"/>
          </w:tcPr>
          <w:p>
            <w:r>
              <w:rPr>
                <w:sz w:val="18"/>
              </w:rPr>
            </w:r>
          </w:p>
        </w:tc>
      </w:tr>
      <w:tr>
        <w:tc>
          <w:tcPr>
            <w:tcW w:type="dxa" w:w="4706"/>
          </w:tcPr>
          <w:p>
            <w:r>
              <w:rPr>
                <w:sz w:val="18"/>
              </w:rPr>
            </w:r>
            <w:r>
              <w:rPr>
                <w:sz w:val="18"/>
              </w:rPr>
              <w:t>Main challenges the community faces</w:t>
            </w:r>
          </w:p>
        </w:tc>
        <w:tc>
          <w:tcPr>
            <w:tcW w:type="dxa" w:w="4706"/>
          </w:tcPr>
          <w:p>
            <w:r>
              <w:rPr>
                <w:sz w:val="18"/>
              </w:rPr>
            </w:r>
          </w:p>
        </w:tc>
      </w:tr>
      <w:tr>
        <w:tc>
          <w:tcPr>
            <w:tcW w:type="dxa" w:w="4706"/>
          </w:tcPr>
          <w:p>
            <w:r>
              <w:rPr>
                <w:sz w:val="18"/>
              </w:rPr>
            </w:r>
            <w:r>
              <w:rPr>
                <w:sz w:val="18"/>
              </w:rPr>
              <w:t>What the community hopes for</w:t>
            </w:r>
          </w:p>
        </w:tc>
        <w:tc>
          <w:tcPr>
            <w:tcW w:type="dxa" w:w="4706"/>
          </w:tcPr>
          <w:p>
            <w:r>
              <w:rPr>
                <w:sz w:val="18"/>
              </w:rPr>
            </w:r>
          </w:p>
        </w:tc>
      </w:tr>
      <w:tr>
        <w:tc>
          <w:tcPr>
            <w:tcW w:type="dxa" w:w="4706"/>
          </w:tcPr>
          <w:p>
            <w:r>
              <w:rPr>
                <w:sz w:val="18"/>
              </w:rPr>
            </w:r>
            <w:r>
              <w:rPr>
                <w:sz w:val="18"/>
              </w:rPr>
              <w:t>Community assets (farming, fishing, businesses, trades)</w:t>
            </w:r>
          </w:p>
        </w:tc>
        <w:tc>
          <w:tcPr>
            <w:tcW w:type="dxa" w:w="4706"/>
          </w:tcPr>
          <w:p>
            <w:r>
              <w:rPr>
                <w:sz w:val="18"/>
              </w:rPr>
            </w:r>
          </w:p>
        </w:tc>
      </w:tr>
      <w:tr>
        <w:tc>
          <w:tcPr>
            <w:tcW w:type="dxa" w:w="4706"/>
          </w:tcPr>
          <w:p>
            <w:r>
              <w:rPr>
                <w:sz w:val="18"/>
              </w:rPr>
            </w:r>
            <w:r>
              <w:rPr>
                <w:sz w:val="18"/>
              </w:rPr>
              <w:t>Logo and brand colors (attach)</w:t>
            </w:r>
          </w:p>
        </w:tc>
        <w:tc>
          <w:tcPr>
            <w:tcW w:type="dxa" w:w="4706"/>
          </w:tcPr>
          <w:p>
            <w:r>
              <w:rPr>
                <w:sz w:val="18"/>
              </w:rPr>
            </w:r>
          </w:p>
        </w:tc>
      </w:tr>
      <w:tr>
        <w:tc>
          <w:tcPr>
            <w:tcW w:type="dxa" w:w="4706"/>
          </w:tcPr>
          <w:p>
            <w:r>
              <w:rPr>
                <w:sz w:val="18"/>
              </w:rPr>
            </w:r>
            <w:r>
              <w:rPr>
                <w:sz w:val="18"/>
              </w:rPr>
              <w:t>Site name to appear (for example "[Name] Learning Lab")</w:t>
            </w:r>
          </w:p>
        </w:tc>
        <w:tc>
          <w:tcPr>
            <w:tcW w:type="dxa" w:w="4706"/>
          </w:tcPr>
          <w:p>
            <w:r>
              <w:rPr>
                <w:sz w:val="18"/>
              </w:rPr>
            </w:r>
          </w:p>
        </w:tc>
      </w:tr>
    </w:tbl>
    <w:p/>
    <w:p>
      <w:pPr>
        <w:pStyle w:val="Heading2"/>
      </w:pPr>
      <w:r>
        <w:t>Schedule C. Costs and support (the two sides complete this)</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AI usage cost: statement basis (actual cost) or fixed monthly amount</w:t>
            </w:r>
          </w:p>
        </w:tc>
        <w:tc>
          <w:tcPr>
            <w:tcW w:type="dxa" w:w="4706"/>
            <w:shd w:val="clear" w:color="auto" w:fill="E3EBF4"/>
          </w:tcPr>
          <w:p>
            <w:r>
              <w:rPr>
                <w:b/>
                <w:sz w:val="18"/>
              </w:rPr>
            </w:r>
          </w:p>
        </w:tc>
      </w:tr>
      <w:tr>
        <w:tc>
          <w:tcPr>
            <w:tcW w:type="dxa" w:w="4706"/>
          </w:tcPr>
          <w:p>
            <w:r>
              <w:rPr>
                <w:sz w:val="18"/>
              </w:rPr>
            </w:r>
            <w:r>
              <w:rPr>
                <w:sz w:val="18"/>
              </w:rPr>
              <w:t>Estimated number of active learners per month</w:t>
            </w:r>
          </w:p>
        </w:tc>
        <w:tc>
          <w:tcPr>
            <w:tcW w:type="dxa" w:w="4706"/>
          </w:tcPr>
          <w:p>
            <w:r>
              <w:rPr>
                <w:sz w:val="18"/>
              </w:rPr>
            </w:r>
          </w:p>
        </w:tc>
      </w:tr>
      <w:tr>
        <w:tc>
          <w:tcPr>
            <w:tcW w:type="dxa" w:w="4706"/>
          </w:tcPr>
          <w:p>
            <w:r>
              <w:rPr>
                <w:sz w:val="18"/>
              </w:rPr>
            </w:r>
            <w:r>
              <w:rPr>
                <w:sz w:val="18"/>
              </w:rPr>
              <w:t>Estimated monthly AI cost (at US$0.20 to US$0.60 per active learner per day of use)</w:t>
            </w:r>
          </w:p>
        </w:tc>
        <w:tc>
          <w:tcPr>
            <w:tcW w:type="dxa" w:w="4706"/>
          </w:tcPr>
          <w:p>
            <w:r>
              <w:rPr>
                <w:sz w:val="18"/>
              </w:rPr>
            </w:r>
            <w:r>
              <w:rPr>
                <w:sz w:val="18"/>
              </w:rPr>
              <w:t>US$</w:t>
            </w:r>
          </w:p>
        </w:tc>
      </w:tr>
      <w:tr>
        <w:tc>
          <w:tcPr>
            <w:tcW w:type="dxa" w:w="4706"/>
          </w:tcPr>
          <w:p>
            <w:r>
              <w:rPr>
                <w:sz w:val="18"/>
              </w:rPr>
            </w:r>
            <w:r>
              <w:rPr>
                <w:sz w:val="18"/>
              </w:rPr>
              <w:t>Monthly spending ceiling for AI costs</w:t>
            </w:r>
          </w:p>
        </w:tc>
        <w:tc>
          <w:tcPr>
            <w:tcW w:type="dxa" w:w="4706"/>
          </w:tcPr>
          <w:p>
            <w:r>
              <w:rPr>
                <w:sz w:val="18"/>
              </w:rPr>
            </w:r>
            <w:r>
              <w:rPr>
                <w:sz w:val="18"/>
              </w:rPr>
              <w:t>US$</w:t>
            </w:r>
          </w:p>
        </w:tc>
      </w:tr>
      <w:tr>
        <w:tc>
          <w:tcPr>
            <w:tcW w:type="dxa" w:w="4706"/>
          </w:tcPr>
          <w:p>
            <w:r>
              <w:rPr>
                <w:sz w:val="18"/>
              </w:rPr>
            </w:r>
            <w:r>
              <w:rPr>
                <w:sz w:val="18"/>
              </w:rPr>
              <w:t>Funder, if a third party is paying</w:t>
            </w:r>
          </w:p>
        </w:tc>
        <w:tc>
          <w:tcPr>
            <w:tcW w:type="dxa" w:w="4706"/>
          </w:tcPr>
          <w:p>
            <w:r>
              <w:rPr>
                <w:sz w:val="18"/>
              </w:rPr>
            </w:r>
          </w:p>
        </w:tc>
      </w:tr>
      <w:tr>
        <w:tc>
          <w:tcPr>
            <w:tcW w:type="dxa" w:w="4706"/>
          </w:tcPr>
          <w:p>
            <w:r>
              <w:rPr>
                <w:sz w:val="18"/>
              </w:rPr>
            </w:r>
            <w:r>
              <w:rPr>
                <w:sz w:val="18"/>
              </w:rPr>
              <w:t>Support for mentoring services (amount and schedule; may be zero or in-kind)</w:t>
            </w:r>
          </w:p>
        </w:tc>
        <w:tc>
          <w:tcPr>
            <w:tcW w:type="dxa" w:w="4706"/>
          </w:tcPr>
          <w:p>
            <w:r>
              <w:rPr>
                <w:sz w:val="18"/>
              </w:rPr>
            </w:r>
          </w:p>
        </w:tc>
      </w:tr>
      <w:tr>
        <w:tc>
          <w:tcPr>
            <w:tcW w:type="dxa" w:w="4706"/>
          </w:tcPr>
          <w:p>
            <w:r>
              <w:rPr>
                <w:sz w:val="18"/>
              </w:rPr>
            </w:r>
            <w:r>
              <w:rPr>
                <w:sz w:val="18"/>
              </w:rPr>
              <w:t>Lead mentor's stipend (set by the Organization)</w:t>
            </w:r>
          </w:p>
        </w:tc>
        <w:tc>
          <w:tcPr>
            <w:tcW w:type="dxa" w:w="4706"/>
          </w:tcPr>
          <w:p>
            <w:r>
              <w:rPr>
                <w:sz w:val="18"/>
              </w:rPr>
            </w:r>
          </w:p>
        </w:tc>
      </w:tr>
      <w:tr>
        <w:tc>
          <w:tcPr>
            <w:tcW w:type="dxa" w:w="4706"/>
          </w:tcPr>
          <w:p>
            <w:r>
              <w:rPr>
                <w:sz w:val="18"/>
              </w:rPr>
            </w:r>
            <w:r>
              <w:rPr>
                <w:sz w:val="18"/>
              </w:rPr>
              <w:t>Payment method and currency</w:t>
            </w:r>
          </w:p>
        </w:tc>
        <w:tc>
          <w:tcPr>
            <w:tcW w:type="dxa" w:w="4706"/>
          </w:tcPr>
          <w:p>
            <w:r>
              <w:rPr>
                <w:sz w:val="18"/>
              </w:rPr>
            </w:r>
          </w:p>
        </w:tc>
      </w:tr>
    </w:tbl>
    <w:p/>
    <w:p>
      <w:pPr>
        <w:pStyle w:val="Heading2"/>
      </w:pPr>
      <w:r>
        <w:t>Schedule D. Who does what for data protection</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Topic</w:t>
            </w:r>
          </w:p>
        </w:tc>
        <w:tc>
          <w:tcPr>
            <w:tcW w:type="dxa" w:w="3137"/>
            <w:shd w:val="clear" w:color="auto" w:fill="E3EBF4"/>
          </w:tcPr>
          <w:p>
            <w:r>
              <w:rPr>
                <w:b/>
                <w:sz w:val="18"/>
              </w:rPr>
            </w:r>
            <w:r>
              <w:rPr>
                <w:b/>
                <w:sz w:val="18"/>
              </w:rPr>
              <w:t>The Organization</w:t>
            </w:r>
          </w:p>
        </w:tc>
        <w:tc>
          <w:tcPr>
            <w:tcW w:type="dxa" w:w="3137"/>
            <w:shd w:val="clear" w:color="auto" w:fill="E3EBF4"/>
          </w:tcPr>
          <w:p>
            <w:r>
              <w:rPr>
                <w:b/>
                <w:sz w:val="18"/>
              </w:rPr>
            </w:r>
            <w:r>
              <w:rPr>
                <w:b/>
                <w:sz w:val="18"/>
              </w:rPr>
              <w:t>vAI</w:t>
            </w:r>
          </w:p>
        </w:tc>
      </w:tr>
      <w:tr>
        <w:tc>
          <w:tcPr>
            <w:tcW w:type="dxa" w:w="3137"/>
          </w:tcPr>
          <w:p>
            <w:r>
              <w:rPr>
                <w:sz w:val="18"/>
              </w:rPr>
            </w:r>
            <w:r>
              <w:rPr>
                <w:sz w:val="18"/>
              </w:rPr>
              <w:t>Parent consent forms</w:t>
            </w:r>
          </w:p>
        </w:tc>
        <w:tc>
          <w:tcPr>
            <w:tcW w:type="dxa" w:w="3137"/>
          </w:tcPr>
          <w:p>
            <w:r>
              <w:rPr>
                <w:sz w:val="18"/>
              </w:rPr>
            </w:r>
            <w:r>
              <w:rPr>
                <w:sz w:val="18"/>
              </w:rPr>
              <w:t>Collects, stores the signed originals, records consent on the platform</w:t>
            </w:r>
          </w:p>
        </w:tc>
        <w:tc>
          <w:tcPr>
            <w:tcW w:type="dxa" w:w="3137"/>
          </w:tcPr>
          <w:p>
            <w:r>
              <w:rPr>
                <w:sz w:val="18"/>
              </w:rPr>
            </w:r>
            <w:r>
              <w:rPr>
                <w:sz w:val="18"/>
              </w:rPr>
              <w:t>Provides the forms and the recording screen</w:t>
            </w:r>
          </w:p>
        </w:tc>
      </w:tr>
      <w:tr>
        <w:tc>
          <w:tcPr>
            <w:tcW w:type="dxa" w:w="3137"/>
          </w:tcPr>
          <w:p>
            <w:r>
              <w:rPr>
                <w:sz w:val="18"/>
              </w:rPr>
            </w:r>
            <w:r>
              <w:rPr>
                <w:sz w:val="18"/>
              </w:rPr>
              <w:t>Who sees learners</w:t>
            </w:r>
          </w:p>
        </w:tc>
        <w:tc>
          <w:tcPr>
            <w:tcW w:type="dxa" w:w="3137"/>
          </w:tcPr>
          <w:p>
            <w:r>
              <w:rPr>
                <w:sz w:val="18"/>
              </w:rPr>
            </w:r>
            <w:r>
              <w:rPr>
                <w:sz w:val="18"/>
              </w:rPr>
              <w:t>Approves its own members; uses the dashboard only for the learners' benefit</w:t>
            </w:r>
          </w:p>
        </w:tc>
        <w:tc>
          <w:tcPr>
            <w:tcW w:type="dxa" w:w="3137"/>
          </w:tcPr>
          <w:p>
            <w:r>
              <w:rPr>
                <w:sz w:val="18"/>
              </w:rPr>
            </w:r>
            <w:r>
              <w:rPr>
                <w:sz w:val="18"/>
              </w:rPr>
              <w:t>Keeps each organization's data separate</w:t>
            </w:r>
          </w:p>
        </w:tc>
      </w:tr>
      <w:tr>
        <w:tc>
          <w:tcPr>
            <w:tcW w:type="dxa" w:w="3137"/>
          </w:tcPr>
          <w:p>
            <w:r>
              <w:rPr>
                <w:sz w:val="18"/>
              </w:rPr>
            </w:r>
            <w:r>
              <w:rPr>
                <w:sz w:val="18"/>
              </w:rPr>
              <w:t>Requests (see, correct, delete, withdraw)</w:t>
            </w:r>
          </w:p>
        </w:tc>
        <w:tc>
          <w:tcPr>
            <w:tcW w:type="dxa" w:w="3137"/>
          </w:tcPr>
          <w:p>
            <w:r>
              <w:rPr>
                <w:sz w:val="18"/>
              </w:rPr>
            </w:r>
            <w:r>
              <w:rPr>
                <w:sz w:val="18"/>
              </w:rPr>
              <w:t>Accepts in person or by any channel; passes to vAI the same day</w:t>
            </w:r>
          </w:p>
        </w:tc>
        <w:tc>
          <w:tcPr>
            <w:tcW w:type="dxa" w:w="3137"/>
          </w:tcPr>
          <w:p>
            <w:r>
              <w:rPr>
                <w:sz w:val="18"/>
              </w:rPr>
            </w:r>
            <w:r>
              <w:rPr>
                <w:sz w:val="18"/>
              </w:rPr>
              <w:t>Replies within 14 days (7 for a copy); carries out deletions</w:t>
            </w:r>
          </w:p>
        </w:tc>
      </w:tr>
      <w:tr>
        <w:tc>
          <w:tcPr>
            <w:tcW w:type="dxa" w:w="3137"/>
          </w:tcPr>
          <w:p>
            <w:r>
              <w:rPr>
                <w:sz w:val="18"/>
              </w:rPr>
            </w:r>
            <w:r>
              <w:rPr>
                <w:sz w:val="18"/>
              </w:rPr>
              <w:t>Breach or lost device</w:t>
            </w:r>
          </w:p>
        </w:tc>
        <w:tc>
          <w:tcPr>
            <w:tcW w:type="dxa" w:w="3137"/>
          </w:tcPr>
          <w:p>
            <w:r>
              <w:rPr>
                <w:sz w:val="18"/>
              </w:rPr>
            </w:r>
            <w:r>
              <w:rPr>
                <w:sz w:val="18"/>
              </w:rPr>
              <w:t>Tells vAI within 24 hours</w:t>
            </w:r>
          </w:p>
        </w:tc>
        <w:tc>
          <w:tcPr>
            <w:tcW w:type="dxa" w:w="3137"/>
          </w:tcPr>
          <w:p>
            <w:r>
              <w:rPr>
                <w:sz w:val="18"/>
              </w:rPr>
            </w:r>
            <w:r>
              <w:rPr>
                <w:sz w:val="18"/>
              </w:rPr>
              <w:t>Tells the Organization within 24 hours; reports to regulators within 72 hours when required</w:t>
            </w:r>
          </w:p>
        </w:tc>
      </w:tr>
      <w:tr>
        <w:tc>
          <w:tcPr>
            <w:tcW w:type="dxa" w:w="3137"/>
          </w:tcPr>
          <w:p>
            <w:r>
              <w:rPr>
                <w:sz w:val="18"/>
              </w:rPr>
            </w:r>
            <w:r>
              <w:rPr>
                <w:sz w:val="18"/>
              </w:rPr>
              <w:t>Safety flags</w:t>
            </w:r>
          </w:p>
        </w:tc>
        <w:tc>
          <w:tcPr>
            <w:tcW w:type="dxa" w:w="3137"/>
          </w:tcPr>
          <w:p>
            <w:r>
              <w:rPr>
                <w:sz w:val="18"/>
              </w:rPr>
            </w:r>
            <w:r>
              <w:rPr>
                <w:sz w:val="18"/>
              </w:rPr>
              <w:t>Child safety officer follows up the same day</w:t>
            </w:r>
          </w:p>
        </w:tc>
        <w:tc>
          <w:tcPr>
            <w:tcW w:type="dxa" w:w="3137"/>
          </w:tcPr>
          <w:p>
            <w:r>
              <w:rPr>
                <w:sz w:val="18"/>
              </w:rPr>
            </w:r>
            <w:r>
              <w:rPr>
                <w:sz w:val="18"/>
              </w:rPr>
              <w:t>Sends the alert to the leader and keeps the log</w:t>
            </w:r>
          </w:p>
        </w:tc>
      </w:tr>
      <w:tr>
        <w:tc>
          <w:tcPr>
            <w:tcW w:type="dxa" w:w="3137"/>
          </w:tcPr>
          <w:p>
            <w:r>
              <w:rPr>
                <w:sz w:val="18"/>
              </w:rPr>
            </w:r>
            <w:r>
              <w:rPr>
                <w:sz w:val="18"/>
              </w:rPr>
              <w:t>Service providers</w:t>
            </w:r>
          </w:p>
        </w:tc>
        <w:tc>
          <w:tcPr>
            <w:tcW w:type="dxa" w:w="3137"/>
          </w:tcPr>
          <w:p>
            <w:r>
              <w:rPr>
                <w:sz w:val="18"/>
              </w:rPr>
            </w:r>
            <w:r>
              <w:rPr>
                <w:sz w:val="18"/>
              </w:rPr>
              <w:t>Receives the current list on request</w:t>
            </w:r>
          </w:p>
        </w:tc>
        <w:tc>
          <w:tcPr>
            <w:tcW w:type="dxa" w:w="3137"/>
          </w:tcPr>
          <w:p>
            <w:r>
              <w:rPr>
                <w:sz w:val="18"/>
              </w:rPr>
            </w:r>
            <w:r>
              <w:rPr>
                <w:sz w:val="18"/>
              </w:rPr>
              <w:t>Maintains the list and agreements with them</w:t>
            </w:r>
          </w:p>
        </w:tc>
      </w:tr>
      <w:tr>
        <w:tc>
          <w:tcPr>
            <w:tcW w:type="dxa" w:w="3137"/>
          </w:tcPr>
          <w:p>
            <w:r>
              <w:rPr>
                <w:sz w:val="18"/>
              </w:rPr>
            </w:r>
            <w:r>
              <w:rPr>
                <w:sz w:val="18"/>
              </w:rPr>
              <w:t>End of agreement</w:t>
            </w:r>
          </w:p>
        </w:tc>
        <w:tc>
          <w:tcPr>
            <w:tcW w:type="dxa" w:w="3137"/>
          </w:tcPr>
          <w:p>
            <w:r>
              <w:rPr>
                <w:sz w:val="18"/>
              </w:rPr>
            </w:r>
            <w:r>
              <w:rPr>
                <w:sz w:val="18"/>
              </w:rPr>
              <w:t>Chooses a copy of records</w:t>
            </w:r>
          </w:p>
        </w:tc>
        <w:tc>
          <w:tcPr>
            <w:tcW w:type="dxa" w:w="3137"/>
          </w:tcPr>
          <w:p>
            <w:r>
              <w:rPr>
                <w:sz w:val="18"/>
              </w:rPr>
            </w:r>
            <w:r>
              <w:rPr>
                <w:sz w:val="18"/>
              </w:rPr>
              <w:t>Returns, then deletes or anonymizes within 30 days</w:t>
            </w:r>
          </w:p>
        </w:tc>
      </w:tr>
    </w:tbl>
    <w:p/>
    <w:p>
      <w:pPr>
        <w:pStyle w:val="Heading2"/>
      </w:pPr>
      <w:r>
        <w:t>Schedule E. Safeguarding commitments of the Organization's leaders</w:t>
      </w:r>
    </w:p>
    <w:p>
      <w:pPr>
        <w:pStyle w:val="ListBullet"/>
      </w:pPr>
      <w:r>
        <w:t>Approve only learners you know; collect the signed parent form first; keep it safe.</w:t>
      </w:r>
    </w:p>
    <w:p>
      <w:pPr>
        <w:pStyle w:val="ListBullet"/>
      </w:pPr>
      <w:r>
        <w:t>Never share a login; each learner uses their own account.</w:t>
      </w:r>
    </w:p>
    <w:p>
      <w:pPr>
        <w:pStyle w:val="ListBullet"/>
      </w:pPr>
      <w:r>
        <w:t>Read safety alerts the same day; talk to the child in person, kindly and casually; write down what you did.</w:t>
      </w:r>
    </w:p>
    <w:p>
      <w:pPr>
        <w:pStyle w:val="ListBullet"/>
      </w:pPr>
      <w:r>
        <w:t>Do not post a child's name, picture, voice or work publicly unless the signed form clearly allows it.</w:t>
      </w:r>
    </w:p>
    <w:p>
      <w:pPr>
        <w:pStyle w:val="ListBullet"/>
      </w:pPr>
      <w:r>
        <w:t>Do not share screenshots of learners' work or chats on social media or in WhatsApp groups without written permission.</w:t>
      </w:r>
    </w:p>
    <w:p>
      <w:pPr>
        <w:pStyle w:val="ListBullet"/>
      </w:pPr>
      <w:r>
        <w:t>Tell vAI right away if a device with learner information is lost or someone else may have seen it.</w:t>
      </w:r>
    </w:p>
    <w:p>
      <w:pPr>
        <w:pStyle w:val="ListBullet"/>
      </w:pPr>
      <w:r>
        <w:t>Take the short leader training session and follow the one-page leader guide.</w:t>
      </w:r>
    </w:p>
    <w:p>
      <w:pPr>
        <w:pStyle w:val="Heading2"/>
      </w:pPr>
      <w:r>
        <w:t>Schedule F. Forms supplied with this agreement</w:t>
      </w:r>
    </w:p>
    <w:p>
      <w:pPr>
        <w:pStyle w:val="ListNumber"/>
      </w:pPr>
      <w:r>
        <w:rPr>
          <w:b/>
        </w:rPr>
        <w:t>Parent or guardian consent form, full</w:t>
      </w:r>
      <w:r>
        <w:t xml:space="preserve"> (for new learners).</w:t>
      </w:r>
    </w:p>
    <w:p>
      <w:pPr>
        <w:pStyle w:val="ListNumber"/>
      </w:pPr>
      <w:r>
        <w:rPr>
          <w:b/>
        </w:rPr>
        <w:t>Parent or guardian consent add-on</w:t>
      </w:r>
      <w:r>
        <w:t xml:space="preserve"> (for families who already signed a media-release form).</w:t>
      </w:r>
    </w:p>
    <w:p>
      <w:pPr>
        <w:pStyle w:val="ListNumber"/>
      </w:pPr>
      <w:r>
        <w:rPr>
          <w:b/>
        </w:rPr>
        <w:t>Leader guide</w:t>
      </w:r>
      <w:r>
        <w:t xml:space="preserve"> (one page).</w:t>
      </w:r>
    </w:p>
    <w:p>
      <w:pPr>
        <w:pStyle w:val="ListNumber"/>
      </w:pPr>
      <w:r>
        <w:rPr>
          <w:b/>
        </w:rPr>
        <w:t>Community onboarding guide.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partnership agreement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