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b3f3f"/>
          <w:sz w:val="36"/>
          <w:szCs w:val="36"/>
        </w:rPr>
        <w:t xml:space="preserve">Workflows de validation — Diagrammes de flux</w:t>
      </w:r>
    </w:p>
    <w:p>
      <w:pPr>
        <w:pBdr>
          <w:bottom w:val="single" w:color="1b3f3f" w:sz="6" w:space="4"/>
        </w:pBdr>
        <w:spacing w:after="40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PHI Fiduciaire Sàrl  ·  Usage interne  ·  Katja Paillé</w:t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b3f3f"/>
          <w:sz w:val="32"/>
          <w:szCs w:val="32"/>
        </w:rPr>
        <w:t xml:space="preserve">Workflow 1 — Réconciliation bancaire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Rapprochement grand livre (1020/1021) vs relevé bancaire. Séparation écarts de change / écritures manquantes.</w:t>
      </w:r>
    </w:p>
    <w:p>
      <w:pPr>
        <w:spacing w:after="60" w:before="60"/>
      </w:pPr>
      <w:r>
        <w:t xml:space="preserve"/>
      </w:r>
    </w:p>
    <w:p>
      <w:pPr>
        <w:spacing w:after="200" w:before="200"/>
      </w:pPr>
      <w:r>
        <w:drawing>
          <wp:inline distT="0" distB="0" distL="0" distR="0">
            <wp:extent cx="8572500" cy="8305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830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b3f3f"/>
          <w:sz w:val="32"/>
          <w:szCs w:val="32"/>
        </w:rPr>
        <w:t xml:space="preserve">Workflow 2 — Contrôle TVA trimestriel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Vérification cohérence TVA déclarée vs comptabilisée. Liste systématique des lignes 0% / exonérées pour validation manuelle.</w:t>
      </w:r>
    </w:p>
    <w:p>
      <w:pPr>
        <w:spacing w:after="60" w:before="60"/>
      </w:pPr>
      <w:r>
        <w:t xml:space="preserve"/>
      </w:r>
    </w:p>
    <w:p>
      <w:pPr>
        <w:spacing w:after="200" w:before="200"/>
      </w:pPr>
      <w:r>
        <w:drawing>
          <wp:inline distT="0" distB="0" distL="0" distR="0">
            <wp:extent cx="8572500" cy="8305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830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b3f3f"/>
          <w:sz w:val="32"/>
          <w:szCs w:val="32"/>
        </w:rPr>
        <w:t xml:space="preserve">Workflow 3 — Validation clôture mensuelle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Checklist officielle Phi Fiduciaire. Point critique : confirmation manuelle des amortissements (saisie manuelle WinBIZ).</w:t>
      </w:r>
    </w:p>
    <w:p>
      <w:pPr>
        <w:spacing w:after="60" w:before="60"/>
      </w:pPr>
      <w:r>
        <w:t xml:space="preserve"/>
      </w:r>
    </w:p>
    <w:p>
      <w:pPr>
        <w:spacing w:after="200" w:before="200"/>
      </w:pPr>
      <w:r>
        <w:drawing>
          <wp:inline distT="0" distB="0" distL="0" distR="0">
            <wp:extent cx="8572500" cy="8305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830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b3f3f"/>
          <w:sz w:val="32"/>
          <w:szCs w:val="32"/>
        </w:rPr>
        <w:t xml:space="preserve">Workflow 4 — Commentaire Bilan et P&amp;L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Détection variations &gt; 10% / &gt; 5% du CA. Rédaction commentaire adapté (situation intermédiaire ou clôture annuelle). Validation contexte obligatoire avant envoi client.</w:t>
      </w:r>
    </w:p>
    <w:p>
      <w:pPr>
        <w:spacing w:after="60" w:before="60"/>
      </w:pPr>
      <w:r>
        <w:t xml:space="preserve"/>
      </w:r>
    </w:p>
    <w:p>
      <w:pPr>
        <w:spacing w:after="200" w:before="200"/>
      </w:pPr>
      <w:r>
        <w:drawing>
          <wp:inline distT="0" distB="0" distL="0" distR="0">
            <wp:extent cx="8572500" cy="8496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849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2" w:space="4"/>
        </w:pBdr>
        <w:spacing w:after="0" w:before="200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PHI Fiduciaire Sàrl  ·  Rue de Malatrex 38, 1201 Genève  ·  Usage interne — confidentiel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91a079e5ac9b86b201db12e78db3c1c18506740.png"/><Relationship Id="rId8" Type="http://schemas.openxmlformats.org/officeDocument/2006/relationships/image" Target="media/bc4b640e11dbf1dca26ae2d9cc9770c2a79141d0.png"/><Relationship Id="rId9" Type="http://schemas.openxmlformats.org/officeDocument/2006/relationships/image" Target="media/d8199c9ba0622b08d5fcd269ddc17c0d6288af73.png"/><Relationship Id="rId10" Type="http://schemas.openxmlformats.org/officeDocument/2006/relationships/image" Target="media/6e90b0fbc647cae50bb2c021575bc0625135090a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2026-05-03T11:47:56.068Z</dcterms:created>
  <dcterms:modified xsi:type="dcterms:W3CDTF">2026-05-03T11:47:56.084Z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