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b3f3f"/>
          <w:sz w:val="40"/>
          <w:szCs w:val="40"/>
        </w:rPr>
        <w:t xml:space="preserve">Guide d'utilisation — Claude pour la validation comptable</w:t>
      </w:r>
    </w:p>
    <w:p>
      <w:pPr>
        <w:spacing w:after="60" w:before="0"/>
      </w:pPr>
      <w:r>
        <w:rPr>
          <w:rFonts w:ascii="Arial" w:cs="Arial" w:eastAsia="Arial" w:hAnsi="Arial"/>
          <w:color w:val="888888"/>
          <w:sz w:val="18"/>
          <w:szCs w:val="18"/>
        </w:rPr>
        <w:t xml:space="preserve">PHI Fiduciaire Sàrl  ·  Usage interne  ·  Katja Paillé — Responsable qualité production comptable</w:t>
      </w:r>
    </w:p>
    <w:p>
      <w:pPr>
        <w:pBdr>
          <w:bottom w:val="single" w:color="1b3f3f" w:sz="6" w:space="4"/>
        </w:pBdr>
        <w:spacing w:after="400" w:before="0"/>
      </w:pPr>
      <w:r>
        <w:rPr>
          <w:sz w:val="20"/>
          <w:szCs w:val="20"/>
        </w:rPr>
        <w:t xml:space="preserve"/>
      </w:r>
    </w:p>
    <w:p>
      <w:pPr>
        <w:spacing w:after="200" w:before="400"/>
      </w:pPr>
      <w:r>
        <w:rPr>
          <w:rFonts w:ascii="Arial" w:cs="Arial" w:eastAsia="Arial" w:hAnsi="Arial"/>
          <w:b/>
          <w:bCs/>
          <w:color w:val="1b3f3f"/>
          <w:sz w:val="32"/>
          <w:szCs w:val="32"/>
        </w:rPr>
        <w:t xml:space="preserve">Introduction</w:t>
      </w:r>
    </w:p>
    <w:p>
      <w:pPr>
        <w:spacing w:after="80" w:before="60"/>
      </w:pPr>
      <w:r>
        <w:rPr>
          <w:rFonts w:ascii="Arial" w:cs="Arial" w:eastAsia="Arial" w:hAnsi="Arial"/>
          <w:color w:val="2C2C2C"/>
          <w:sz w:val="20"/>
          <w:szCs w:val="20"/>
        </w:rPr>
        <w:t xml:space="preserve">Ce guide définit comment utiliser Claude (assistant IA d'Anthropic) comme outil de validation comptable dans le cadre du rôle qualité de Katja Paillé. Il couvre 4 workflows standards, les règles de confidentialité à respecter, et les limites à connaître.</w:t>
      </w:r>
    </w:p>
    <w:p>
      <w:pPr>
        <w:spacing w:after="80" w:before="60"/>
      </w:pPr>
      <w:r>
        <w:rPr>
          <w:rFonts w:ascii="Arial" w:cs="Arial" w:eastAsia="Arial" w:hAnsi="Arial"/>
          <w:color w:val="2C2C2C"/>
          <w:sz w:val="20"/>
          <w:szCs w:val="20"/>
        </w:rPr>
        <w:t xml:space="preserve">Claude n'est pas un logiciel comptable. Il ne remplace pas WinBIZ, ne se connecte pas aux dossiers, et ne prend aucune décision. Son rôle est d'analyser les données qu'on lui fournit, de détecter les anomalies et d'aider à la rédaction. La validation finale reste toujours du ressort de Katja.</w:t>
      </w:r>
    </w:p>
    <w:p>
      <w:pPr>
        <w:spacing w:after="60" w:before="60"/>
      </w:pPr>
      <w:r>
        <w:t xml:space="preserve"/>
      </w:r>
    </w:p>
    <w:p>
      <w:pPr>
        <w:spacing w:after="200" w:before="400"/>
      </w:pPr>
      <w:r>
        <w:rPr>
          <w:rFonts w:ascii="Arial" w:cs="Arial" w:eastAsia="Arial" w:hAnsi="Arial"/>
          <w:b/>
          <w:bCs/>
          <w:color w:val="1b3f3f"/>
          <w:sz w:val="32"/>
          <w:szCs w:val="32"/>
        </w:rPr>
        <w:t xml:space="preserve">Règles fondamentales</w:t>
      </w:r>
    </w:p>
    <w:p>
      <w:pPr>
        <w:spacing w:after="100" w:before="220"/>
      </w:pPr>
      <w:r>
        <w:rPr>
          <w:rFonts w:ascii="Arial" w:cs="Arial" w:eastAsia="Arial" w:hAnsi="Arial"/>
          <w:b/>
          <w:bCs/>
          <w:color w:val="2C2C2C"/>
          <w:sz w:val="22"/>
          <w:szCs w:val="22"/>
        </w:rPr>
        <w:t xml:space="preserve">Confidentialité — règle absolue</w:t>
      </w:r>
    </w:p>
    <w:p>
      <w:pPr>
        <w:spacing w:after="80" w:before="60"/>
      </w:pPr>
      <w:r>
        <w:rPr>
          <w:rFonts w:ascii="Arial" w:cs="Arial" w:eastAsia="Arial" w:hAnsi="Arial"/>
          <w:color w:val="2C2C2C"/>
          <w:sz w:val="20"/>
          <w:szCs w:val="20"/>
        </w:rPr>
        <w:t xml:space="preserve">Aucun nom de client, aucun numéro IDE/AVS, aucune information permettant d'identifier un client ne doit apparaître dans Claude.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0" w:val="clear"/>
            <w:tcMar>
              <w:top w:type="dxa" w:w="120"/>
              <w:left w:type="dxa" w:w="180"/>
              <w:bottom w:type="dxa" w:w="120"/>
              <w:right w:type="dxa" w:w="180"/>
            </w:tcMar>
          </w:tcPr>
          <w:p>
            <w:pPr>
              <w:spacing w:after="80" w:before="0"/>
            </w:pPr>
            <w:r>
              <w:rPr>
                <w:rFonts w:ascii="Arial" w:cs="Arial" w:eastAsia="Arial" w:hAnsi="Arial"/>
                <w:b/>
                <w:bCs/>
                <w:color w:val="1b3f3f"/>
                <w:sz w:val="20"/>
                <w:szCs w:val="20"/>
              </w:rPr>
              <w:t xml:space="preserve">Identification des dossiers</w:t>
            </w:r>
          </w:p>
          <w:p>
            <w:pPr>
              <w:pStyle w:val="ListParagraph"/>
              <w:numPr>
                <w:ilvl w:val="0"/>
                <w:numId w:val="2"/>
              </w:numPr>
              <w:spacing w:after="30" w:before="30"/>
            </w:pPr>
            <w:r>
              <w:rPr>
                <w:rFonts w:ascii="Arial" w:cs="Arial" w:eastAsia="Arial" w:hAnsi="Arial"/>
                <w:color w:val="2C2C2C"/>
                <w:sz w:val="19"/>
                <w:szCs w:val="19"/>
              </w:rPr>
              <w:t xml:space="preserve">Utiliser uniquement le numéro de dossier WinBIZ (ex. : Dossier 1042)</w:t>
            </w:r>
          </w:p>
          <w:p>
            <w:pPr>
              <w:pStyle w:val="ListParagraph"/>
              <w:numPr>
                <w:ilvl w:val="0"/>
                <w:numId w:val="2"/>
              </w:numPr>
              <w:spacing w:after="30" w:before="30"/>
            </w:pPr>
            <w:r>
              <w:rPr>
                <w:rFonts w:ascii="Arial" w:cs="Arial" w:eastAsia="Arial" w:hAnsi="Arial"/>
                <w:color w:val="2C2C2C"/>
                <w:sz w:val="19"/>
                <w:szCs w:val="19"/>
              </w:rPr>
              <w:t xml:space="preserve">Remplacer tout nom propre par le numéro de dossier avant de coller un export</w:t>
            </w:r>
          </w:p>
          <w:p>
            <w:pPr>
              <w:pStyle w:val="ListParagraph"/>
              <w:numPr>
                <w:ilvl w:val="0"/>
                <w:numId w:val="2"/>
              </w:numPr>
              <w:spacing w:after="30" w:before="30"/>
            </w:pPr>
            <w:r>
              <w:rPr>
                <w:rFonts w:ascii="Arial" w:cs="Arial" w:eastAsia="Arial" w:hAnsi="Arial"/>
                <w:color w:val="2C2C2C"/>
                <w:sz w:val="19"/>
                <w:szCs w:val="19"/>
              </w:rPr>
              <w:t xml:space="preserve">Ne jamais coller de relevés bancaires avec IBAN complet visible</w:t>
            </w:r>
          </w:p>
          <w:p>
            <w:pPr>
              <w:pStyle w:val="ListParagraph"/>
              <w:numPr>
                <w:ilvl w:val="0"/>
                <w:numId w:val="2"/>
              </w:numPr>
              <w:spacing w:after="30" w:before="30"/>
            </w:pPr>
            <w:r>
              <w:rPr>
                <w:rFonts w:ascii="Arial" w:cs="Arial" w:eastAsia="Arial" w:hAnsi="Arial"/>
                <w:color w:val="2C2C2C"/>
                <w:sz w:val="19"/>
                <w:szCs w:val="19"/>
              </w:rPr>
              <w:t xml:space="preserve">En cas de doute : ne pas coller, poser la question sans les données</w:t>
            </w:r>
          </w:p>
        </w:tc>
      </w:tr>
    </w:tbl>
    <w:p>
      <w:pPr>
        <w:spacing w:after="60" w:before="60"/>
      </w:pPr>
      <w:r>
        <w:t xml:space="preserve"/>
      </w:r>
    </w:p>
    <w:p>
      <w:pPr>
        <w:spacing w:after="100" w:before="220"/>
      </w:pPr>
      <w:r>
        <w:rPr>
          <w:rFonts w:ascii="Arial" w:cs="Arial" w:eastAsia="Arial" w:hAnsi="Arial"/>
          <w:b/>
          <w:bCs/>
          <w:color w:val="2C2C2C"/>
          <w:sz w:val="22"/>
          <w:szCs w:val="22"/>
        </w:rPr>
        <w:t xml:space="preserve">Une session = un dossier</w:t>
      </w:r>
    </w:p>
    <w:p>
      <w:pPr>
        <w:spacing w:after="80" w:before="60"/>
      </w:pPr>
      <w:r>
        <w:rPr>
          <w:rFonts w:ascii="Arial" w:cs="Arial" w:eastAsia="Arial" w:hAnsi="Arial"/>
          <w:color w:val="2C2C2C"/>
          <w:sz w:val="20"/>
          <w:szCs w:val="20"/>
        </w:rPr>
        <w:t xml:space="preserve">Ne pas mélanger plusieurs dossiers clients dans la même session Claude. Ouvrir une nouvelle conversation pour chaque dossier. Cela évite les confusions et garantit que Claude n'applique pas le contexte d'un dossier à un autre.</w:t>
      </w:r>
    </w:p>
    <w:p>
      <w:pPr>
        <w:spacing w:after="60" w:before="60"/>
      </w:pPr>
      <w:r>
        <w:t xml:space="preserve"/>
      </w:r>
    </w:p>
    <w:p>
      <w:pPr>
        <w:spacing w:after="100" w:before="220"/>
      </w:pPr>
      <w:r>
        <w:rPr>
          <w:rFonts w:ascii="Arial" w:cs="Arial" w:eastAsia="Arial" w:hAnsi="Arial"/>
          <w:b/>
          <w:bCs/>
          <w:color w:val="2C2C2C"/>
          <w:sz w:val="22"/>
          <w:szCs w:val="22"/>
        </w:rPr>
        <w:t xml:space="preserve">Qualité de l'export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3a24" w:sz="4"/>
              <w:left w:val="single" w:color="ef3a24" w:sz="8"/>
              <w:bottom w:val="single" w:color="ef3a24" w:sz="1"/>
              <w:right w:val="single" w:color="ef3a24" w:sz="1"/>
            </w:tcBorders>
            <w:shd w:fill="FEF3F2" w:val="clear"/>
            <w:tcMar>
              <w:top w:type="dxa" w:w="120"/>
              <w:left w:type="dxa" w:w="180"/>
              <w:bottom w:type="dxa" w:w="120"/>
              <w:right w:type="dxa" w:w="180"/>
            </w:tcMar>
          </w:tcPr>
          <w:p>
            <w:pPr>
              <w:spacing w:after="80" w:before="0"/>
            </w:pPr>
            <w:r>
              <w:rPr>
                <w:rFonts w:ascii="Arial" w:cs="Arial" w:eastAsia="Arial" w:hAnsi="Arial"/>
                <w:b/>
                <w:bCs/>
                <w:color w:val="C0392B"/>
                <w:sz w:val="20"/>
                <w:szCs w:val="20"/>
              </w:rPr>
              <w:t xml:space="preserve">⚠  Vérifier l'export avant de coller</w:t>
            </w:r>
          </w:p>
          <w:p>
            <w:pPr>
              <w:pStyle w:val="ListParagraph"/>
              <w:numPr>
                <w:ilvl w:val="0"/>
                <w:numId w:val="3"/>
              </w:numPr>
              <w:spacing w:after="30" w:before="30"/>
            </w:pPr>
            <w:r>
              <w:rPr>
                <w:rFonts w:ascii="Arial" w:cs="Arial" w:eastAsia="Arial" w:hAnsi="Arial"/>
                <w:color w:val="2C2C2C"/>
                <w:sz w:val="19"/>
                <w:szCs w:val="19"/>
              </w:rPr>
              <w:t xml:space="preserve">Dates de début et de fin correctes</w:t>
            </w:r>
          </w:p>
          <w:p>
            <w:pPr>
              <w:pStyle w:val="ListParagraph"/>
              <w:numPr>
                <w:ilvl w:val="0"/>
                <w:numId w:val="3"/>
              </w:numPr>
              <w:spacing w:after="30" w:before="30"/>
            </w:pPr>
            <w:r>
              <w:rPr>
                <w:rFonts w:ascii="Arial" w:cs="Arial" w:eastAsia="Arial" w:hAnsi="Arial"/>
                <w:color w:val="2C2C2C"/>
                <w:sz w:val="19"/>
                <w:szCs w:val="19"/>
              </w:rPr>
              <w:t xml:space="preserve">Solde d'ouverture inclus</w:t>
            </w:r>
          </w:p>
          <w:p>
            <w:pPr>
              <w:pStyle w:val="ListParagraph"/>
              <w:numPr>
                <w:ilvl w:val="0"/>
                <w:numId w:val="3"/>
              </w:numPr>
              <w:spacing w:after="30" w:before="30"/>
            </w:pPr>
            <w:r>
              <w:rPr>
                <w:rFonts w:ascii="Arial" w:cs="Arial" w:eastAsia="Arial" w:hAnsi="Arial"/>
                <w:color w:val="2C2C2C"/>
                <w:sz w:val="19"/>
                <w:szCs w:val="19"/>
              </w:rPr>
              <w:t xml:space="preserve">Tous les mouvements de la période présents</w:t>
            </w:r>
          </w:p>
          <w:p>
            <w:pPr>
              <w:pStyle w:val="ListParagraph"/>
              <w:numPr>
                <w:ilvl w:val="0"/>
                <w:numId w:val="3"/>
              </w:numPr>
              <w:spacing w:after="30" w:before="30"/>
            </w:pPr>
            <w:r>
              <w:rPr>
                <w:rFonts w:ascii="Arial" w:cs="Arial" w:eastAsia="Arial" w:hAnsi="Arial"/>
                <w:color w:val="2C2C2C"/>
                <w:sz w:val="19"/>
                <w:szCs w:val="19"/>
              </w:rPr>
              <w:t xml:space="preserve">Export complet — pas de filtre oublié dans WinBIZ</w:t>
            </w:r>
          </w:p>
        </w:tc>
      </w:tr>
    </w:tbl>
    <w:p>
      <w:pPr>
        <w:spacing w:after="80" w:before="60"/>
      </w:pPr>
      <w:r>
        <w:rPr>
          <w:rFonts w:ascii="Arial" w:cs="Arial" w:eastAsia="Arial" w:hAnsi="Arial"/>
          <w:color w:val="2C2C2C"/>
          <w:sz w:val="20"/>
          <w:szCs w:val="20"/>
        </w:rPr>
        <w:t xml:space="preserve">Claude analyse uniquement ce qu'on lui donne. Un export incomplet produit une analyse incomplète, sans aucun avertissement automatique.</w:t>
      </w:r>
    </w:p>
    <w:p>
      <w:pPr>
        <w:spacing w:after="60" w:before="60"/>
      </w:pPr>
      <w:r>
        <w:t xml:space="preserve"/>
      </w:r>
    </w:p>
    <w:p>
      <w:pPr>
        <w:spacing w:after="100" w:before="220"/>
      </w:pPr>
      <w:r>
        <w:rPr>
          <w:rFonts w:ascii="Arial" w:cs="Arial" w:eastAsia="Arial" w:hAnsi="Arial"/>
          <w:b/>
          <w:bCs/>
          <w:color w:val="2C2C2C"/>
          <w:sz w:val="22"/>
          <w:szCs w:val="22"/>
        </w:rPr>
        <w:t xml:space="preserve">Le résultat Claude est toujours un brouillon</w:t>
      </w:r>
    </w:p>
    <w:p>
      <w:pPr>
        <w:spacing w:after="80" w:before="60"/>
      </w:pPr>
      <w:r>
        <w:rPr>
          <w:rFonts w:ascii="Arial" w:cs="Arial" w:eastAsia="Arial" w:hAnsi="Arial"/>
          <w:color w:val="2C2C2C"/>
          <w:sz w:val="20"/>
          <w:szCs w:val="20"/>
        </w:rPr>
        <w:t xml:space="preserve">Tout commentaire, toute analyse, toute liste d'anomalies produite par Claude doit être validée par Katja avant utilisation ou envoi. Claude ne connaît pas le contexte du dossier — il ne sait pas qu'un client a investi en mars ou perdu un contrat en juillet.</w:t>
      </w:r>
    </w:p>
    <w:p>
      <w:pPr>
        <w:spacing w:after="60" w:before="60"/>
      </w:pPr>
      <w:r>
        <w:t xml:space="preserve"/>
      </w:r>
    </w:p>
    <w:p>
      <w:pPr>
        <w:spacing w:after="200" w:before="400"/>
      </w:pPr>
      <w:r>
        <w:rPr>
          <w:rFonts w:ascii="Arial" w:cs="Arial" w:eastAsia="Arial" w:hAnsi="Arial"/>
          <w:b/>
          <w:bCs/>
          <w:color w:val="1b3f3f"/>
          <w:sz w:val="32"/>
          <w:szCs w:val="32"/>
        </w:rPr>
        <w:t xml:space="preserve">Workflow 1 — Réconciliation bancaire</w:t>
      </w:r>
    </w:p>
    <w:p>
      <w:pPr>
        <w:spacing w:after="100" w:before="220"/>
      </w:pPr>
      <w:r>
        <w:rPr>
          <w:rFonts w:ascii="Arial" w:cs="Arial" w:eastAsia="Arial" w:hAnsi="Arial"/>
          <w:b/>
          <w:bCs/>
          <w:color w:val="2C2C2C"/>
          <w:sz w:val="22"/>
          <w:szCs w:val="22"/>
        </w:rPr>
        <w:t xml:space="preserve">Objectif</w:t>
      </w:r>
    </w:p>
    <w:p>
      <w:pPr>
        <w:spacing w:after="80" w:before="60"/>
      </w:pPr>
      <w:r>
        <w:rPr>
          <w:rFonts w:ascii="Arial" w:cs="Arial" w:eastAsia="Arial" w:hAnsi="Arial"/>
          <w:color w:val="2C2C2C"/>
          <w:sz w:val="20"/>
          <w:szCs w:val="20"/>
        </w:rPr>
        <w:t xml:space="preserve">Vérifier la cohérence entre le relevé bancaire et le grand livre, identifier les écarts, les doublons et les écritures manquantes.</w:t>
      </w:r>
    </w:p>
    <w:p>
      <w:pPr>
        <w:spacing w:after="60" w:before="60"/>
      </w:pPr>
      <w:r>
        <w:t xml:space="preserve"/>
      </w:r>
    </w:p>
    <w:p>
      <w:pPr>
        <w:spacing w:after="100" w:before="220"/>
      </w:pPr>
      <w:r>
        <w:rPr>
          <w:rFonts w:ascii="Arial" w:cs="Arial" w:eastAsia="Arial" w:hAnsi="Arial"/>
          <w:b/>
          <w:bCs/>
          <w:color w:val="2C2C2C"/>
          <w:sz w:val="22"/>
          <w:szCs w:val="22"/>
        </w:rPr>
        <w:t xml:space="preserve">Comptes concernés</w:t>
      </w:r>
    </w:p>
    <w:p>
      <w:pPr>
        <w:pStyle w:val="ListParagraph"/>
        <w:numPr>
          <w:ilvl w:val="0"/>
          <w:numId w:val="4"/>
        </w:numPr>
        <w:spacing w:after="40" w:before="40"/>
      </w:pPr>
      <w:r>
        <w:rPr>
          <w:rFonts w:ascii="Arial" w:cs="Arial" w:eastAsia="Arial" w:hAnsi="Arial"/>
          <w:color w:val="2C2C2C"/>
          <w:sz w:val="20"/>
          <w:szCs w:val="20"/>
        </w:rPr>
        <w:t xml:space="preserve">1020 — Compte bancaire CHF</w:t>
      </w:r>
    </w:p>
    <w:p>
      <w:pPr>
        <w:pStyle w:val="ListParagraph"/>
        <w:numPr>
          <w:ilvl w:val="0"/>
          <w:numId w:val="4"/>
        </w:numPr>
        <w:spacing w:after="40" w:before="40"/>
      </w:pPr>
      <w:r>
        <w:rPr>
          <w:rFonts w:ascii="Arial" w:cs="Arial" w:eastAsia="Arial" w:hAnsi="Arial"/>
          <w:color w:val="2C2C2C"/>
          <w:sz w:val="20"/>
          <w:szCs w:val="20"/>
        </w:rPr>
        <w:t xml:space="preserve">1021 — Compte bancaire EUR (ou autre devise)</w:t>
      </w:r>
    </w:p>
    <w:p>
      <w:pPr>
        <w:pStyle w:val="ListParagraph"/>
        <w:numPr>
          <w:ilvl w:val="0"/>
          <w:numId w:val="4"/>
        </w:numPr>
        <w:spacing w:after="40" w:before="40"/>
      </w:pPr>
      <w:r>
        <w:rPr>
          <w:rFonts w:ascii="Arial" w:cs="Arial" w:eastAsia="Arial" w:hAnsi="Arial"/>
          <w:color w:val="2C2C2C"/>
          <w:sz w:val="20"/>
          <w:szCs w:val="20"/>
        </w:rPr>
        <w:t xml:space="preserve">Autres comptes de trésorerie selon le dossier</w:t>
      </w:r>
    </w:p>
    <w:p>
      <w:pPr>
        <w:spacing w:after="60" w:before="60"/>
      </w:pPr>
      <w:r>
        <w:t xml:space="preserve"/>
      </w:r>
    </w:p>
    <w:p>
      <w:pPr>
        <w:spacing w:after="100" w:before="220"/>
      </w:pPr>
      <w:r>
        <w:rPr>
          <w:rFonts w:ascii="Arial" w:cs="Arial" w:eastAsia="Arial" w:hAnsi="Arial"/>
          <w:b/>
          <w:bCs/>
          <w:color w:val="2C2C2C"/>
          <w:sz w:val="22"/>
          <w:szCs w:val="22"/>
        </w:rPr>
        <w:t xml:space="preserve">Étapes</w:t>
      </w:r>
    </w:p>
    <w:p>
      <w:pPr>
        <w:pStyle w:val="ListParagraph"/>
        <w:numPr>
          <w:ilvl w:val="0"/>
          <w:numId w:val="5"/>
        </w:numPr>
        <w:spacing w:after="40" w:before="40"/>
      </w:pPr>
      <w:r>
        <w:rPr>
          <w:rFonts w:ascii="Arial" w:cs="Arial" w:eastAsia="Arial" w:hAnsi="Arial"/>
          <w:color w:val="2C2C2C"/>
          <w:sz w:val="20"/>
          <w:szCs w:val="20"/>
        </w:rPr>
        <w:t xml:space="preserve">Exporter depuis WinBIZ : grand livre compte(s) concerné(s), période complète, solde d'ouverture inclus</w:t>
      </w:r>
    </w:p>
    <w:p>
      <w:pPr>
        <w:pStyle w:val="ListParagraph"/>
        <w:numPr>
          <w:ilvl w:val="0"/>
          <w:numId w:val="5"/>
        </w:numPr>
        <w:spacing w:after="40" w:before="40"/>
      </w:pPr>
      <w:r>
        <w:rPr>
          <w:rFonts w:ascii="Arial" w:cs="Arial" w:eastAsia="Arial" w:hAnsi="Arial"/>
          <w:color w:val="2C2C2C"/>
          <w:sz w:val="20"/>
          <w:szCs w:val="20"/>
        </w:rPr>
        <w:t xml:space="preserve">Exporter ou préparer le relevé bancaire PostFinance (ou autre banque) pour la même période</w:t>
      </w:r>
    </w:p>
    <w:p>
      <w:pPr>
        <w:pStyle w:val="ListParagraph"/>
        <w:numPr>
          <w:ilvl w:val="0"/>
          <w:numId w:val="5"/>
        </w:numPr>
        <w:spacing w:after="40" w:before="40"/>
      </w:pPr>
      <w:r>
        <w:rPr>
          <w:rFonts w:ascii="Arial" w:cs="Arial" w:eastAsia="Arial" w:hAnsi="Arial"/>
          <w:color w:val="2C2C2C"/>
          <w:sz w:val="20"/>
          <w:szCs w:val="20"/>
        </w:rPr>
        <w:t xml:space="preserve">Vérifier que les deux exports sont complets (dates, solde d'ouverture)</w:t>
      </w:r>
    </w:p>
    <w:p>
      <w:pPr>
        <w:pStyle w:val="ListParagraph"/>
        <w:numPr>
          <w:ilvl w:val="0"/>
          <w:numId w:val="5"/>
        </w:numPr>
        <w:spacing w:after="40" w:before="40"/>
      </w:pPr>
      <w:r>
        <w:rPr>
          <w:rFonts w:ascii="Arial" w:cs="Arial" w:eastAsia="Arial" w:hAnsi="Arial"/>
          <w:color w:val="2C2C2C"/>
          <w:sz w:val="20"/>
          <w:szCs w:val="20"/>
        </w:rPr>
        <w:t xml:space="preserve">Anonymiser : remplacer le nom du client par le numéro de dossier WinBIZ</w:t>
      </w:r>
    </w:p>
    <w:p>
      <w:pPr>
        <w:pStyle w:val="ListParagraph"/>
        <w:numPr>
          <w:ilvl w:val="0"/>
          <w:numId w:val="5"/>
        </w:numPr>
        <w:spacing w:after="40" w:before="40"/>
      </w:pPr>
      <w:r>
        <w:rPr>
          <w:rFonts w:ascii="Arial" w:cs="Arial" w:eastAsia="Arial" w:hAnsi="Arial"/>
          <w:color w:val="2C2C2C"/>
          <w:sz w:val="20"/>
          <w:szCs w:val="20"/>
        </w:rPr>
        <w:t xml:space="preserve">Coller les deux documents dans Claude avec le prompt type ci-dessous</w:t>
      </w:r>
    </w:p>
    <w:p>
      <w:pPr>
        <w:pStyle w:val="ListParagraph"/>
        <w:numPr>
          <w:ilvl w:val="0"/>
          <w:numId w:val="5"/>
        </w:numPr>
        <w:spacing w:after="40" w:before="40"/>
      </w:pPr>
      <w:r>
        <w:rPr>
          <w:rFonts w:ascii="Arial" w:cs="Arial" w:eastAsia="Arial" w:hAnsi="Arial"/>
          <w:color w:val="2C2C2C"/>
          <w:sz w:val="20"/>
          <w:szCs w:val="20"/>
        </w:rPr>
        <w:t xml:space="preserve">Traiter les écarts identifiés dans WinBIZ</w:t>
      </w:r>
    </w:p>
    <w:p>
      <w:pPr>
        <w:pStyle w:val="ListParagraph"/>
        <w:numPr>
          <w:ilvl w:val="0"/>
          <w:numId w:val="5"/>
        </w:numPr>
        <w:spacing w:after="40" w:before="40"/>
      </w:pPr>
      <w:r>
        <w:rPr>
          <w:rFonts w:ascii="Arial" w:cs="Arial" w:eastAsia="Arial" w:hAnsi="Arial"/>
          <w:color w:val="2C2C2C"/>
          <w:sz w:val="20"/>
          <w:szCs w:val="20"/>
        </w:rPr>
        <w:t xml:space="preserve">Documenter les ajustements effectués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1b3f3f" w:sz="6"/>
              <w:bottom w:val="single" w:color="AAAAAA" w:sz="1"/>
              <w:right w:val="single" w:color="AAAAAA" w:sz="1"/>
            </w:tcBorders>
            <w:shd w:fill="F4F4F4" w:val="clear"/>
            <w:tcMar>
              <w:top w:type="dxa" w:w="120"/>
              <w:left w:type="dxa" w:w="180"/>
              <w:bottom w:type="dxa" w:w="120"/>
              <w:right w:type="dxa" w:w="180"/>
            </w:tcMar>
          </w:tcPr>
          <w:p>
            <w:pPr>
              <w:spacing w:after="60" w:before="0"/>
            </w:pPr>
            <w:r>
              <w:rPr>
                <w:rFonts w:ascii="Arial" w:cs="Arial" w:eastAsia="Arial" w:hAnsi="Arial"/>
                <w:b/>
                <w:bCs/>
                <w:color w:val="1b3f3f"/>
                <w:sz w:val="18"/>
                <w:szCs w:val="18"/>
              </w:rPr>
              <w:t xml:space="preserve">Prompt type</w:t>
            </w:r>
          </w:p>
          <w:p>
            <w:pPr>
              <w:spacing w:after="0" w:before="0"/>
            </w:pPr>
            <w:r>
              <w:rPr>
                <w:rFonts w:ascii="Arial" w:cs="Arial" w:eastAsia="Arial" w:hAnsi="Arial"/>
                <w:i/>
                <w:iCs/>
                <w:color w:val="2C2C2C"/>
                <w:sz w:val="19"/>
                <w:szCs w:val="19"/>
              </w:rPr>
              <w:t xml:space="preserve">Voici le grand livre compte 1020 et le relevé bancaire pour le dossier [XXXX], période [mois/année]. Identifie les écarts entre les deux, les lignes présentes dans un document et absentes de l'autre, les doublons éventuels, et les écritures en sens inverse suspect. Liste les points à corriger par ordre de priorité.</w:t>
            </w:r>
          </w:p>
        </w:tc>
      </w:tr>
    </w:tbl>
    <w:p>
      <w:pPr>
        <w:spacing w:after="60" w:before="60"/>
      </w:pPr>
      <w:r>
        <w:t xml:space="preserve"/>
      </w:r>
    </w:p>
    <w:p>
      <w:pPr>
        <w:spacing w:after="100" w:before="220"/>
      </w:pPr>
      <w:r>
        <w:rPr>
          <w:rFonts w:ascii="Arial" w:cs="Arial" w:eastAsia="Arial" w:hAnsi="Arial"/>
          <w:b/>
          <w:bCs/>
          <w:color w:val="2C2C2C"/>
          <w:sz w:val="22"/>
          <w:szCs w:val="22"/>
        </w:rPr>
        <w:t xml:space="preserve">Points d'attention spécifiques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0" w:val="clear"/>
            <w:tcMar>
              <w:top w:type="dxa" w:w="120"/>
              <w:left w:type="dxa" w:w="180"/>
              <w:bottom w:type="dxa" w:w="120"/>
              <w:right w:type="dxa" w:w="180"/>
            </w:tcMar>
          </w:tcPr>
          <w:p>
            <w:pPr>
              <w:spacing w:after="80" w:before="0"/>
            </w:pPr>
            <w:r>
              <w:rPr>
                <w:rFonts w:ascii="Arial" w:cs="Arial" w:eastAsia="Arial" w:hAnsi="Arial"/>
                <w:b/>
                <w:bCs/>
                <w:color w:val="1b3f3f"/>
                <w:sz w:val="20"/>
                <w:szCs w:val="20"/>
              </w:rPr>
              <w:t xml:space="preserve">Comptes en devises étrangères (1021 EUR, etc.)</w:t>
            </w:r>
          </w:p>
          <w:p>
            <w:pPr>
              <w:pStyle w:val="ListParagraph"/>
              <w:numPr>
                <w:ilvl w:val="0"/>
                <w:numId w:val="2"/>
              </w:numPr>
              <w:spacing w:after="30" w:before="30"/>
            </w:pPr>
            <w:r>
              <w:rPr>
                <w:rFonts w:ascii="Arial" w:cs="Arial" w:eastAsia="Arial" w:hAnsi="Arial"/>
                <w:color w:val="2C2C2C"/>
                <w:sz w:val="19"/>
                <w:szCs w:val="19"/>
              </w:rPr>
              <w:t xml:space="preserve">Distinguer clairement les écarts de change (compte 4900 / 6900) des écritures manquantes</w:t>
            </w:r>
          </w:p>
          <w:p>
            <w:pPr>
              <w:pStyle w:val="ListParagraph"/>
              <w:numPr>
                <w:ilvl w:val="0"/>
                <w:numId w:val="2"/>
              </w:numPr>
              <w:spacing w:after="30" w:before="30"/>
            </w:pPr>
            <w:r>
              <w:rPr>
                <w:rFonts w:ascii="Arial" w:cs="Arial" w:eastAsia="Arial" w:hAnsi="Arial"/>
                <w:color w:val="2C2C2C"/>
                <w:sz w:val="19"/>
                <w:szCs w:val="19"/>
              </w:rPr>
              <w:t xml:space="preserve">Les deux ne se traitent pas de la même façon — ne pas les mélanger</w:t>
            </w:r>
          </w:p>
          <w:p>
            <w:pPr>
              <w:pStyle w:val="ListParagraph"/>
              <w:numPr>
                <w:ilvl w:val="0"/>
                <w:numId w:val="2"/>
              </w:numPr>
              <w:spacing w:after="30" w:before="30"/>
            </w:pPr>
            <w:r>
              <w:rPr>
                <w:rFonts w:ascii="Arial" w:cs="Arial" w:eastAsia="Arial" w:hAnsi="Arial"/>
                <w:color w:val="2C2C2C"/>
                <w:sz w:val="19"/>
                <w:szCs w:val="19"/>
              </w:rPr>
              <w:t xml:space="preserve">Demander à Claude de séparer les deux catégories dans son analyse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0" w:val="clear"/>
            <w:tcMar>
              <w:top w:type="dxa" w:w="120"/>
              <w:left w:type="dxa" w:w="180"/>
              <w:bottom w:type="dxa" w:w="120"/>
              <w:right w:type="dxa" w:w="180"/>
            </w:tcMar>
          </w:tcPr>
          <w:p>
            <w:pPr>
              <w:spacing w:after="80" w:before="0"/>
            </w:pPr>
            <w:r>
              <w:rPr>
                <w:rFonts w:ascii="Arial" w:cs="Arial" w:eastAsia="Arial" w:hAnsi="Arial"/>
                <w:b/>
                <w:bCs/>
                <w:color w:val="1b3f3f"/>
                <w:sz w:val="20"/>
                <w:szCs w:val="20"/>
              </w:rPr>
              <w:t xml:space="preserve">Écritures récurrentes à vérifier en priorité</w:t>
            </w:r>
          </w:p>
          <w:p>
            <w:pPr>
              <w:pStyle w:val="ListParagraph"/>
              <w:numPr>
                <w:ilvl w:val="0"/>
                <w:numId w:val="2"/>
              </w:numPr>
              <w:spacing w:after="30" w:before="30"/>
            </w:pPr>
            <w:r>
              <w:rPr>
                <w:rFonts w:ascii="Arial" w:cs="Arial" w:eastAsia="Arial" w:hAnsi="Arial"/>
                <w:color w:val="2C2C2C"/>
                <w:sz w:val="19"/>
                <w:szCs w:val="19"/>
              </w:rPr>
              <w:t xml:space="preserve">Loyers — présence et montant correct</w:t>
            </w:r>
          </w:p>
          <w:p>
            <w:pPr>
              <w:pStyle w:val="ListParagraph"/>
              <w:numPr>
                <w:ilvl w:val="0"/>
                <w:numId w:val="2"/>
              </w:numPr>
              <w:spacing w:after="30" w:before="30"/>
            </w:pPr>
            <w:r>
              <w:rPr>
                <w:rFonts w:ascii="Arial" w:cs="Arial" w:eastAsia="Arial" w:hAnsi="Arial"/>
                <w:color w:val="2C2C2C"/>
                <w:sz w:val="19"/>
                <w:szCs w:val="19"/>
              </w:rPr>
              <w:t xml:space="preserve">Salaires et charges sociales — cohérence avec la fiche de paie</w:t>
            </w:r>
          </w:p>
          <w:p>
            <w:pPr>
              <w:pStyle w:val="ListParagraph"/>
              <w:numPr>
                <w:ilvl w:val="0"/>
                <w:numId w:val="2"/>
              </w:numPr>
              <w:spacing w:after="30" w:before="30"/>
            </w:pPr>
            <w:r>
              <w:rPr>
                <w:rFonts w:ascii="Arial" w:cs="Arial" w:eastAsia="Arial" w:hAnsi="Arial"/>
                <w:color w:val="2C2C2C"/>
                <w:sz w:val="19"/>
                <w:szCs w:val="19"/>
              </w:rPr>
              <w:t xml:space="preserve">Acomptes TVA</w:t>
            </w:r>
          </w:p>
          <w:p>
            <w:pPr>
              <w:pStyle w:val="ListParagraph"/>
              <w:numPr>
                <w:ilvl w:val="0"/>
                <w:numId w:val="2"/>
              </w:numPr>
              <w:spacing w:after="30" w:before="30"/>
            </w:pPr>
            <w:r>
              <w:rPr>
                <w:rFonts w:ascii="Arial" w:cs="Arial" w:eastAsia="Arial" w:hAnsi="Arial"/>
                <w:color w:val="2C2C2C"/>
                <w:sz w:val="19"/>
                <w:szCs w:val="19"/>
              </w:rPr>
              <w:t xml:space="preserve">Honoraires récurrents clients</w:t>
            </w:r>
          </w:p>
        </w:tc>
      </w:tr>
    </w:tbl>
    <w:p>
      <w:pPr>
        <w:spacing w:after="60" w:before="60"/>
      </w:pPr>
      <w:r>
        <w:t xml:space="preserve"/>
      </w:r>
    </w:p>
    <w:p>
      <w:pPr>
        <w:spacing w:after="200" w:before="400"/>
      </w:pPr>
      <w:r>
        <w:rPr>
          <w:rFonts w:ascii="Arial" w:cs="Arial" w:eastAsia="Arial" w:hAnsi="Arial"/>
          <w:b/>
          <w:bCs/>
          <w:color w:val="1b3f3f"/>
          <w:sz w:val="32"/>
          <w:szCs w:val="32"/>
        </w:rPr>
        <w:t xml:space="preserve">Workflow 2 — Contrôle TVA</w:t>
      </w:r>
    </w:p>
    <w:p>
      <w:pPr>
        <w:spacing w:after="100" w:before="220"/>
      </w:pPr>
      <w:r>
        <w:rPr>
          <w:rFonts w:ascii="Arial" w:cs="Arial" w:eastAsia="Arial" w:hAnsi="Arial"/>
          <w:b/>
          <w:bCs/>
          <w:color w:val="2C2C2C"/>
          <w:sz w:val="22"/>
          <w:szCs w:val="22"/>
        </w:rPr>
        <w:t xml:space="preserve">Objectif</w:t>
      </w:r>
    </w:p>
    <w:p>
      <w:pPr>
        <w:spacing w:after="80" w:before="60"/>
      </w:pPr>
      <w:r>
        <w:rPr>
          <w:rFonts w:ascii="Arial" w:cs="Arial" w:eastAsia="Arial" w:hAnsi="Arial"/>
          <w:color w:val="2C2C2C"/>
          <w:sz w:val="20"/>
          <w:szCs w:val="20"/>
        </w:rPr>
        <w:t xml:space="preserve">Valider un décompte TVA trimestriel avant envoi à l'AFC en vérifiant la cohérence entre TVA déclarée et TVA comptabilisée, et en détectant les erreurs de codage.</w:t>
      </w:r>
    </w:p>
    <w:p>
      <w:pPr>
        <w:spacing w:after="60" w:before="60"/>
      </w:pPr>
      <w:r>
        <w:t xml:space="preserve"/>
      </w:r>
    </w:p>
    <w:p>
      <w:pPr>
        <w:spacing w:after="100" w:before="220"/>
      </w:pPr>
      <w:r>
        <w:rPr>
          <w:rFonts w:ascii="Arial" w:cs="Arial" w:eastAsia="Arial" w:hAnsi="Arial"/>
          <w:b/>
          <w:bCs/>
          <w:color w:val="2C2C2C"/>
          <w:sz w:val="22"/>
          <w:szCs w:val="22"/>
        </w:rPr>
        <w:t xml:space="preserve">Comptes concernés</w:t>
      </w:r>
    </w:p>
    <w:p>
      <w:pPr>
        <w:pStyle w:val="ListParagraph"/>
        <w:numPr>
          <w:ilvl w:val="0"/>
          <w:numId w:val="4"/>
        </w:numPr>
        <w:spacing w:after="40" w:before="40"/>
      </w:pPr>
      <w:r>
        <w:rPr>
          <w:rFonts w:ascii="Arial" w:cs="Arial" w:eastAsia="Arial" w:hAnsi="Arial"/>
          <w:color w:val="2C2C2C"/>
          <w:sz w:val="20"/>
          <w:szCs w:val="20"/>
        </w:rPr>
        <w:t xml:space="preserve">1170 / 1171 — TVA déductible</w:t>
      </w:r>
    </w:p>
    <w:p>
      <w:pPr>
        <w:pStyle w:val="ListParagraph"/>
        <w:numPr>
          <w:ilvl w:val="0"/>
          <w:numId w:val="4"/>
        </w:numPr>
        <w:spacing w:after="40" w:before="40"/>
      </w:pPr>
      <w:r>
        <w:rPr>
          <w:rFonts w:ascii="Arial" w:cs="Arial" w:eastAsia="Arial" w:hAnsi="Arial"/>
          <w:color w:val="2C2C2C"/>
          <w:sz w:val="20"/>
          <w:szCs w:val="20"/>
        </w:rPr>
        <w:t xml:space="preserve">2200 / 2201 — TVA due</w:t>
      </w:r>
    </w:p>
    <w:p>
      <w:pPr>
        <w:spacing w:after="60" w:before="60"/>
      </w:pPr>
      <w:r>
        <w:t xml:space="preserve"/>
      </w:r>
    </w:p>
    <w:p>
      <w:pPr>
        <w:spacing w:after="100" w:before="220"/>
      </w:pPr>
      <w:r>
        <w:rPr>
          <w:rFonts w:ascii="Arial" w:cs="Arial" w:eastAsia="Arial" w:hAnsi="Arial"/>
          <w:b/>
          <w:bCs/>
          <w:color w:val="2C2C2C"/>
          <w:sz w:val="22"/>
          <w:szCs w:val="22"/>
        </w:rPr>
        <w:t xml:space="preserve">Taux en vigueur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b3f3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f3f" w:val="clear"/>
            <w:tcMar>
              <w:top w:type="dxa" w:w="80"/>
              <w:left w:type="dxa" w:w="120"/>
              <w:bottom w:type="dxa" w:w="80"/>
              <w:right w:type="dxa" w:w="120"/>
            </w:tcMar>
          </w:tcPr>
          <w:p>
            <w:r>
              <w:rPr>
                <w:rFonts w:ascii="Arial" w:cs="Arial" w:eastAsia="Arial" w:hAnsi="Arial"/>
                <w:b/>
                <w:bCs/>
                <w:color w:val="FFFFFF"/>
                <w:sz w:val="20"/>
                <w:szCs w:val="20"/>
              </w:rPr>
              <w:t xml:space="preserve">Taux</w:t>
            </w:r>
          </w:p>
        </w:tc>
        <w:tc>
          <w:tcPr>
            <w:tcW w:type="dxa" w:w="4026"/>
            <w:tcBorders>
              <w:top w:val="single" w:color="CCCCCC" w:sz="1"/>
              <w:left w:val="single" w:color="CCCCCC" w:sz="1"/>
              <w:bottom w:val="single" w:color="CCCCCC" w:sz="1"/>
              <w:right w:val="single" w:color="CCCCCC" w:sz="1"/>
            </w:tcBorders>
            <w:shd w:fill="1b3f3f"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Taux normal</w:t>
            </w:r>
          </w:p>
        </w:tc>
        <w:tc>
          <w:tcPr>
            <w:tcW w:type="dxa" w:w="20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1b3f3f"/>
                <w:sz w:val="20"/>
                <w:szCs w:val="20"/>
              </w:rPr>
              <w:t xml:space="preserve">8.1%</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Prestations standard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Taux réduit</w:t>
            </w:r>
          </w:p>
        </w:tc>
        <w:tc>
          <w:tcPr>
            <w:tcW w:type="dxa" w:w="20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1b3f3f"/>
                <w:sz w:val="20"/>
                <w:szCs w:val="20"/>
              </w:rPr>
              <w:t xml:space="preserve">2.6%</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Denrées alimentaires, médicaments, etc.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Taux hébergement</w:t>
            </w:r>
          </w:p>
        </w:tc>
        <w:tc>
          <w:tcPr>
            <w:tcW w:type="dxa" w:w="20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1b3f3f"/>
                <w:sz w:val="20"/>
                <w:szCs w:val="20"/>
              </w:rPr>
              <w:t xml:space="preserve">3.8%</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Prestations d'hébergement</w:t>
            </w:r>
          </w:p>
        </w:tc>
      </w:tr>
    </w:tbl>
    <w:p>
      <w:pPr>
        <w:spacing w:after="60" w:before="60"/>
      </w:pPr>
      <w:r>
        <w:t xml:space="preserve"/>
      </w:r>
    </w:p>
    <w:p>
      <w:pPr>
        <w:spacing w:after="100" w:before="220"/>
      </w:pPr>
      <w:r>
        <w:rPr>
          <w:rFonts w:ascii="Arial" w:cs="Arial" w:eastAsia="Arial" w:hAnsi="Arial"/>
          <w:b/>
          <w:bCs/>
          <w:color w:val="2C2C2C"/>
          <w:sz w:val="22"/>
          <w:szCs w:val="22"/>
        </w:rPr>
        <w:t xml:space="preserve">Étapes</w:t>
      </w:r>
    </w:p>
    <w:p>
      <w:pPr>
        <w:pStyle w:val="ListParagraph"/>
        <w:numPr>
          <w:ilvl w:val="0"/>
          <w:numId w:val="6"/>
        </w:numPr>
        <w:spacing w:after="40" w:before="40"/>
      </w:pPr>
      <w:r>
        <w:rPr>
          <w:rFonts w:ascii="Arial" w:cs="Arial" w:eastAsia="Arial" w:hAnsi="Arial"/>
          <w:color w:val="2C2C2C"/>
          <w:sz w:val="20"/>
          <w:szCs w:val="20"/>
        </w:rPr>
        <w:t xml:space="preserve">Exporter depuis WinBIZ : décompte TVA trimestriel + grand livre comptes TVA (1170, 1171, 2200, 2201)</w:t>
      </w:r>
    </w:p>
    <w:p>
      <w:pPr>
        <w:pStyle w:val="ListParagraph"/>
        <w:numPr>
          <w:ilvl w:val="0"/>
          <w:numId w:val="6"/>
        </w:numPr>
        <w:spacing w:after="40" w:before="40"/>
      </w:pPr>
      <w:r>
        <w:rPr>
          <w:rFonts w:ascii="Arial" w:cs="Arial" w:eastAsia="Arial" w:hAnsi="Arial"/>
          <w:color w:val="2C2C2C"/>
          <w:sz w:val="20"/>
          <w:szCs w:val="20"/>
        </w:rPr>
        <w:t xml:space="preserve">Anonymiser : numéro de dossier uniquement</w:t>
      </w:r>
    </w:p>
    <w:p>
      <w:pPr>
        <w:pStyle w:val="ListParagraph"/>
        <w:numPr>
          <w:ilvl w:val="0"/>
          <w:numId w:val="6"/>
        </w:numPr>
        <w:spacing w:after="40" w:before="40"/>
      </w:pPr>
      <w:r>
        <w:rPr>
          <w:rFonts w:ascii="Arial" w:cs="Arial" w:eastAsia="Arial" w:hAnsi="Arial"/>
          <w:color w:val="2C2C2C"/>
          <w:sz w:val="20"/>
          <w:szCs w:val="20"/>
        </w:rPr>
        <w:t xml:space="preserve">Coller dans Claude avec le prompt type ci-dessous</w:t>
      </w:r>
    </w:p>
    <w:p>
      <w:pPr>
        <w:pStyle w:val="ListParagraph"/>
        <w:numPr>
          <w:ilvl w:val="0"/>
          <w:numId w:val="6"/>
        </w:numPr>
        <w:spacing w:after="40" w:before="40"/>
      </w:pPr>
      <w:r>
        <w:rPr>
          <w:rFonts w:ascii="Arial" w:cs="Arial" w:eastAsia="Arial" w:hAnsi="Arial"/>
          <w:color w:val="2C2C2C"/>
          <w:sz w:val="20"/>
          <w:szCs w:val="20"/>
        </w:rPr>
        <w:t xml:space="preserve">Vérifier manuellement chaque ligne signalée par Claude</w:t>
      </w:r>
    </w:p>
    <w:p>
      <w:pPr>
        <w:pStyle w:val="ListParagraph"/>
        <w:numPr>
          <w:ilvl w:val="0"/>
          <w:numId w:val="6"/>
        </w:numPr>
        <w:spacing w:after="40" w:before="40"/>
      </w:pPr>
      <w:r>
        <w:rPr>
          <w:rFonts w:ascii="Arial" w:cs="Arial" w:eastAsia="Arial" w:hAnsi="Arial"/>
          <w:color w:val="2C2C2C"/>
          <w:sz w:val="20"/>
          <w:szCs w:val="20"/>
        </w:rPr>
        <w:t xml:space="preserve">Corriger dans WinBIZ avant envoi AFC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1b3f3f" w:sz="6"/>
              <w:bottom w:val="single" w:color="AAAAAA" w:sz="1"/>
              <w:right w:val="single" w:color="AAAAAA" w:sz="1"/>
            </w:tcBorders>
            <w:shd w:fill="F4F4F4" w:val="clear"/>
            <w:tcMar>
              <w:top w:type="dxa" w:w="120"/>
              <w:left w:type="dxa" w:w="180"/>
              <w:bottom w:type="dxa" w:w="120"/>
              <w:right w:type="dxa" w:w="180"/>
            </w:tcMar>
          </w:tcPr>
          <w:p>
            <w:pPr>
              <w:spacing w:after="60" w:before="0"/>
            </w:pPr>
            <w:r>
              <w:rPr>
                <w:rFonts w:ascii="Arial" w:cs="Arial" w:eastAsia="Arial" w:hAnsi="Arial"/>
                <w:b/>
                <w:bCs/>
                <w:color w:val="1b3f3f"/>
                <w:sz w:val="18"/>
                <w:szCs w:val="18"/>
              </w:rPr>
              <w:t xml:space="preserve">Prompt type</w:t>
            </w:r>
          </w:p>
          <w:p>
            <w:pPr>
              <w:spacing w:after="0" w:before="0"/>
            </w:pPr>
            <w:r>
              <w:rPr>
                <w:rFonts w:ascii="Arial" w:cs="Arial" w:eastAsia="Arial" w:hAnsi="Arial"/>
                <w:i/>
                <w:iCs/>
                <w:color w:val="2C2C2C"/>
                <w:sz w:val="19"/>
                <w:szCs w:val="19"/>
              </w:rPr>
              <w:t xml:space="preserve">Voici le décompte TVA et le grand livre TVA pour le dossier [XXXX], trimestre [X/XXXX]. Vérifie la cohérence entre TVA déclarée et TVA comptabilisée. Signale les taux incorrects (taux attendus : 8.1% normal / 2.6% réduit / 3.8% hébergement). Liste séparément toutes les lignes codées à taux 0% ou exonérées pour validation manuelle.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3a24" w:sz="4"/>
              <w:left w:val="single" w:color="ef3a24" w:sz="8"/>
              <w:bottom w:val="single" w:color="ef3a24" w:sz="1"/>
              <w:right w:val="single" w:color="ef3a24" w:sz="1"/>
            </w:tcBorders>
            <w:shd w:fill="FEF3F2" w:val="clear"/>
            <w:tcMar>
              <w:top w:type="dxa" w:w="120"/>
              <w:left w:type="dxa" w:w="180"/>
              <w:bottom w:type="dxa" w:w="120"/>
              <w:right w:type="dxa" w:w="180"/>
            </w:tcMar>
          </w:tcPr>
          <w:p>
            <w:pPr>
              <w:spacing w:after="80" w:before="0"/>
            </w:pPr>
            <w:r>
              <w:rPr>
                <w:rFonts w:ascii="Arial" w:cs="Arial" w:eastAsia="Arial" w:hAnsi="Arial"/>
                <w:b/>
                <w:bCs/>
                <w:color w:val="C0392B"/>
                <w:sz w:val="20"/>
                <w:szCs w:val="20"/>
              </w:rPr>
              <w:t xml:space="preserve">⚠  Erreur la plus fréquente en TVA</w:t>
            </w:r>
          </w:p>
          <w:p>
            <w:pPr>
              <w:pStyle w:val="ListParagraph"/>
              <w:numPr>
                <w:ilvl w:val="0"/>
                <w:numId w:val="3"/>
              </w:numPr>
              <w:spacing w:after="30" w:before="30"/>
            </w:pPr>
            <w:r>
              <w:rPr>
                <w:rFonts w:ascii="Arial" w:cs="Arial" w:eastAsia="Arial" w:hAnsi="Arial"/>
                <w:color w:val="2C2C2C"/>
                <w:sz w:val="19"/>
                <w:szCs w:val="19"/>
              </w:rPr>
              <w:t xml:space="preserve">Le calcul WinBIZ est correct — l'erreur vient du code TVA appliqué à la saisie</w:t>
            </w:r>
          </w:p>
          <w:p>
            <w:pPr>
              <w:pStyle w:val="ListParagraph"/>
              <w:numPr>
                <w:ilvl w:val="0"/>
                <w:numId w:val="3"/>
              </w:numPr>
              <w:spacing w:after="30" w:before="30"/>
            </w:pPr>
            <w:r>
              <w:rPr>
                <w:rFonts w:ascii="Arial" w:cs="Arial" w:eastAsia="Arial" w:hAnsi="Arial"/>
                <w:color w:val="2C2C2C"/>
                <w:sz w:val="19"/>
                <w:szCs w:val="19"/>
              </w:rPr>
              <w:t xml:space="preserve">Une charge saisie à 0% au lieu de 8.1% ne génère aucune alerte automatique</w:t>
            </w:r>
          </w:p>
          <w:p>
            <w:pPr>
              <w:pStyle w:val="ListParagraph"/>
              <w:numPr>
                <w:ilvl w:val="0"/>
                <w:numId w:val="3"/>
              </w:numPr>
              <w:spacing w:after="30" w:before="30"/>
            </w:pPr>
            <w:r>
              <w:rPr>
                <w:rFonts w:ascii="Arial" w:cs="Arial" w:eastAsia="Arial" w:hAnsi="Arial"/>
                <w:color w:val="2C2C2C"/>
                <w:sz w:val="19"/>
                <w:szCs w:val="19"/>
              </w:rPr>
              <w:t xml:space="preserve">Valider manuellement chaque ligne listée par Claude dans la catégorie 0% / exonéré</w:t>
            </w:r>
          </w:p>
        </w:tc>
      </w:tr>
    </w:tbl>
    <w:p>
      <w:pPr>
        <w:spacing w:after="60" w:before="60"/>
      </w:pPr>
      <w:r>
        <w:t xml:space="preserve"/>
      </w:r>
    </w:p>
    <w:p>
      <w:pPr>
        <w:spacing w:after="200" w:before="400"/>
      </w:pPr>
      <w:r>
        <w:rPr>
          <w:rFonts w:ascii="Arial" w:cs="Arial" w:eastAsia="Arial" w:hAnsi="Arial"/>
          <w:b/>
          <w:bCs/>
          <w:color w:val="1b3f3f"/>
          <w:sz w:val="32"/>
          <w:szCs w:val="32"/>
        </w:rPr>
        <w:t xml:space="preserve">Workflow 3 — Validation clôture mensuelle</w:t>
      </w:r>
    </w:p>
    <w:p>
      <w:pPr>
        <w:spacing w:after="100" w:before="220"/>
      </w:pPr>
      <w:r>
        <w:rPr>
          <w:rFonts w:ascii="Arial" w:cs="Arial" w:eastAsia="Arial" w:hAnsi="Arial"/>
          <w:b/>
          <w:bCs/>
          <w:color w:val="2C2C2C"/>
          <w:sz w:val="22"/>
          <w:szCs w:val="22"/>
        </w:rPr>
        <w:t xml:space="preserve">Objectif</w:t>
      </w:r>
    </w:p>
    <w:p>
      <w:pPr>
        <w:spacing w:after="80" w:before="60"/>
      </w:pPr>
      <w:r>
        <w:rPr>
          <w:rFonts w:ascii="Arial" w:cs="Arial" w:eastAsia="Arial" w:hAnsi="Arial"/>
          <w:color w:val="2C2C2C"/>
          <w:sz w:val="20"/>
          <w:szCs w:val="20"/>
        </w:rPr>
        <w:t xml:space="preserve">Vérifier la cohérence globale d'un dossier en fin de mois, avant archivage. Ce contrôle est interne — il n'y a pas de livraison client mensuelle systématique. Son objectif est de maintenir les dossiers propres en continu pour que la clôture annuelle ne soit pas un chantier.</w:t>
      </w:r>
    </w:p>
    <w:p>
      <w:pPr>
        <w:spacing w:after="60" w:before="60"/>
      </w:pPr>
      <w:r>
        <w:t xml:space="preserve"/>
      </w:r>
    </w:p>
    <w:p>
      <w:pPr>
        <w:spacing w:after="100" w:before="220"/>
      </w:pPr>
      <w:r>
        <w:rPr>
          <w:rFonts w:ascii="Arial" w:cs="Arial" w:eastAsia="Arial" w:hAnsi="Arial"/>
          <w:b/>
          <w:bCs/>
          <w:color w:val="2C2C2C"/>
          <w:sz w:val="22"/>
          <w:szCs w:val="22"/>
        </w:rPr>
        <w:t xml:space="preserve">Checklist officielle Phi Fiduciaire — clôture mensuelle</w:t>
      </w:r>
    </w:p>
    <w:p>
      <w:pPr>
        <w:spacing w:after="80" w:before="60"/>
      </w:pPr>
      <w:r>
        <w:rPr>
          <w:rFonts w:ascii="Arial" w:cs="Arial" w:eastAsia="Arial" w:hAnsi="Arial"/>
          <w:color w:val="2C2C2C"/>
          <w:sz w:val="20"/>
          <w:szCs w:val="20"/>
        </w:rPr>
        <w:t xml:space="preserve">Cette checklist constitue le standard interne de validation. Elle s'applique à tous les dossiers, quelle que soit la structure juridique du client.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pPr>
              <w:jc w:val="center"/>
            </w:pPr>
            <w:r>
              <w:rPr>
                <w:rFonts w:ascii="Arial" w:cs="Arial" w:eastAsia="Arial" w:hAnsi="Arial"/>
                <w:color w:val="1b3f3f"/>
                <w:sz w:val="22"/>
                <w:szCs w:val="22"/>
              </w:rPr>
              <w:t xml:space="preserve">☐</w:t>
            </w:r>
          </w:p>
        </w:tc>
        <w:tc>
          <w:tcPr>
            <w:tcW w:type="dxa" w:w="8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Bilan équilibré — actif = passif</w:t>
            </w:r>
          </w:p>
        </w:tc>
      </w:tr>
      <w:tr>
        <w:tc>
          <w:tcPr>
            <w:tcW w:type="dxa" w:w="6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pPr>
              <w:jc w:val="center"/>
            </w:pPr>
            <w:r>
              <w:rPr>
                <w:rFonts w:ascii="Arial" w:cs="Arial" w:eastAsia="Arial" w:hAnsi="Arial"/>
                <w:color w:val="1b3f3f"/>
                <w:sz w:val="22"/>
                <w:szCs w:val="22"/>
              </w:rPr>
              <w:t xml:space="preserve">☐</w:t>
            </w:r>
          </w:p>
        </w:tc>
        <w:tc>
          <w:tcPr>
            <w:tcW w:type="dxa" w:w="8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Rapprochement bancaire bouclé (voir Workflow 1)</w:t>
            </w:r>
          </w:p>
        </w:tc>
      </w:tr>
      <w:tr>
        <w:tc>
          <w:tcPr>
            <w:tcW w:type="dxa" w:w="6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pPr>
              <w:jc w:val="center"/>
            </w:pPr>
            <w:r>
              <w:rPr>
                <w:rFonts w:ascii="Arial" w:cs="Arial" w:eastAsia="Arial" w:hAnsi="Arial"/>
                <w:color w:val="1b3f3f"/>
                <w:sz w:val="22"/>
                <w:szCs w:val="22"/>
              </w:rPr>
              <w:t xml:space="preserve">☐</w:t>
            </w:r>
          </w:p>
        </w:tc>
        <w:tc>
          <w:tcPr>
            <w:tcW w:type="dxa" w:w="8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Charges récurrentes présentes : loyer, salaires, assurances</w:t>
            </w:r>
          </w:p>
        </w:tc>
      </w:tr>
      <w:tr>
        <w:tc>
          <w:tcPr>
            <w:tcW w:type="dxa" w:w="6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pPr>
              <w:jc w:val="center"/>
            </w:pPr>
            <w:r>
              <w:rPr>
                <w:rFonts w:ascii="Arial" w:cs="Arial" w:eastAsia="Arial" w:hAnsi="Arial"/>
                <w:color w:val="1b3f3f"/>
                <w:sz w:val="22"/>
                <w:szCs w:val="22"/>
              </w:rPr>
              <w:t xml:space="preserve">☐</w:t>
            </w:r>
          </w:p>
        </w:tc>
        <w:tc>
          <w:tcPr>
            <w:tcW w:type="dxa" w:w="8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Amortissements passés — confirmation manuelle obligatoire</w:t>
            </w:r>
          </w:p>
        </w:tc>
      </w:tr>
      <w:tr>
        <w:tc>
          <w:tcPr>
            <w:tcW w:type="dxa" w:w="6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pPr>
              <w:jc w:val="center"/>
            </w:pPr>
            <w:r>
              <w:rPr>
                <w:rFonts w:ascii="Arial" w:cs="Arial" w:eastAsia="Arial" w:hAnsi="Arial"/>
                <w:color w:val="1b3f3f"/>
                <w:sz w:val="22"/>
                <w:szCs w:val="22"/>
              </w:rPr>
              <w:t xml:space="preserve">☐</w:t>
            </w:r>
          </w:p>
        </w:tc>
        <w:tc>
          <w:tcPr>
            <w:tcW w:type="dxa" w:w="8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Comptes transitoires apurés</w:t>
            </w:r>
          </w:p>
        </w:tc>
      </w:tr>
      <w:tr>
        <w:tc>
          <w:tcPr>
            <w:tcW w:type="dxa" w:w="6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pPr>
              <w:jc w:val="center"/>
            </w:pPr>
            <w:r>
              <w:rPr>
                <w:rFonts w:ascii="Arial" w:cs="Arial" w:eastAsia="Arial" w:hAnsi="Arial"/>
                <w:color w:val="1b3f3f"/>
                <w:sz w:val="22"/>
                <w:szCs w:val="22"/>
              </w:rPr>
              <w:t xml:space="preserve">☐</w:t>
            </w:r>
          </w:p>
        </w:tc>
        <w:tc>
          <w:tcPr>
            <w:tcW w:type="dxa" w:w="8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Pas d'écritures en sens inverse suspect</w:t>
            </w:r>
          </w:p>
        </w:tc>
      </w:tr>
      <w:tr>
        <w:tc>
          <w:tcPr>
            <w:tcW w:type="dxa" w:w="6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pPr>
              <w:jc w:val="center"/>
            </w:pPr>
            <w:r>
              <w:rPr>
                <w:rFonts w:ascii="Arial" w:cs="Arial" w:eastAsia="Arial" w:hAnsi="Arial"/>
                <w:color w:val="1b3f3f"/>
                <w:sz w:val="22"/>
                <w:szCs w:val="22"/>
              </w:rPr>
              <w:t xml:space="preserve">☐</w:t>
            </w:r>
          </w:p>
        </w:tc>
        <w:tc>
          <w:tcPr>
            <w:tcW w:type="dxa" w:w="8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2C2C"/>
                <w:sz w:val="20"/>
                <w:szCs w:val="20"/>
              </w:rPr>
              <w:t xml:space="preserve">TVA cohérente si fin de trimestre (voir Workflow 2)</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3a24" w:sz="4"/>
              <w:left w:val="single" w:color="ef3a24" w:sz="8"/>
              <w:bottom w:val="single" w:color="ef3a24" w:sz="1"/>
              <w:right w:val="single" w:color="ef3a24" w:sz="1"/>
            </w:tcBorders>
            <w:shd w:fill="FEF3F2" w:val="clear"/>
            <w:tcMar>
              <w:top w:type="dxa" w:w="120"/>
              <w:left w:type="dxa" w:w="180"/>
              <w:bottom w:type="dxa" w:w="120"/>
              <w:right w:type="dxa" w:w="180"/>
            </w:tcMar>
          </w:tcPr>
          <w:p>
            <w:pPr>
              <w:spacing w:after="80" w:before="0"/>
            </w:pPr>
            <w:r>
              <w:rPr>
                <w:rFonts w:ascii="Arial" w:cs="Arial" w:eastAsia="Arial" w:hAnsi="Arial"/>
                <w:b/>
                <w:bCs/>
                <w:color w:val="C0392B"/>
                <w:sz w:val="20"/>
                <w:szCs w:val="20"/>
              </w:rPr>
              <w:t xml:space="preserve">⚠  Amortissements — point de risque</w:t>
            </w:r>
          </w:p>
          <w:p>
            <w:pPr>
              <w:pStyle w:val="ListParagraph"/>
              <w:numPr>
                <w:ilvl w:val="0"/>
                <w:numId w:val="3"/>
              </w:numPr>
              <w:spacing w:after="30" w:before="30"/>
            </w:pPr>
            <w:r>
              <w:rPr>
                <w:rFonts w:ascii="Arial" w:cs="Arial" w:eastAsia="Arial" w:hAnsi="Arial"/>
                <w:color w:val="2C2C2C"/>
                <w:sz w:val="19"/>
                <w:szCs w:val="19"/>
              </w:rPr>
              <w:t xml:space="preserve">Les amortissements sont saisis manuellement dans WinBIZ</w:t>
            </w:r>
          </w:p>
          <w:p>
            <w:pPr>
              <w:pStyle w:val="ListParagraph"/>
              <w:numPr>
                <w:ilvl w:val="0"/>
                <w:numId w:val="3"/>
              </w:numPr>
              <w:spacing w:after="30" w:before="30"/>
            </w:pPr>
            <w:r>
              <w:rPr>
                <w:rFonts w:ascii="Arial" w:cs="Arial" w:eastAsia="Arial" w:hAnsi="Arial"/>
                <w:color w:val="2C2C2C"/>
                <w:sz w:val="19"/>
                <w:szCs w:val="19"/>
              </w:rPr>
              <w:t xml:space="preserve">C'est le point le plus souvent oublié en fin de mois chargé</w:t>
            </w:r>
          </w:p>
          <w:p>
            <w:pPr>
              <w:pStyle w:val="ListParagraph"/>
              <w:numPr>
                <w:ilvl w:val="0"/>
                <w:numId w:val="3"/>
              </w:numPr>
              <w:spacing w:after="30" w:before="30"/>
            </w:pPr>
            <w:r>
              <w:rPr>
                <w:rFonts w:ascii="Arial" w:cs="Arial" w:eastAsia="Arial" w:hAnsi="Arial"/>
                <w:color w:val="2C2C2C"/>
                <w:sz w:val="19"/>
                <w:szCs w:val="19"/>
              </w:rPr>
              <w:t xml:space="preserve">Claude doit demander la confirmation explicite que les amortissements ont été passés — ne pas supposer</w:t>
            </w:r>
          </w:p>
        </w:tc>
      </w:tr>
    </w:tbl>
    <w:p>
      <w:pPr>
        <w:spacing w:after="60" w:before="60"/>
      </w:pPr>
      <w:r>
        <w:t xml:space="preserve"/>
      </w:r>
    </w:p>
    <w:p>
      <w:pPr>
        <w:spacing w:after="100" w:before="220"/>
      </w:pPr>
      <w:r>
        <w:rPr>
          <w:rFonts w:ascii="Arial" w:cs="Arial" w:eastAsia="Arial" w:hAnsi="Arial"/>
          <w:b/>
          <w:bCs/>
          <w:color w:val="2C2C2C"/>
          <w:sz w:val="22"/>
          <w:szCs w:val="22"/>
        </w:rPr>
        <w:t xml:space="preserve">Étapes</w:t>
      </w:r>
    </w:p>
    <w:p>
      <w:pPr>
        <w:pStyle w:val="ListParagraph"/>
        <w:numPr>
          <w:ilvl w:val="0"/>
          <w:numId w:val="7"/>
        </w:numPr>
        <w:spacing w:after="40" w:before="40"/>
      </w:pPr>
      <w:r>
        <w:rPr>
          <w:rFonts w:ascii="Arial" w:cs="Arial" w:eastAsia="Arial" w:hAnsi="Arial"/>
          <w:color w:val="2C2C2C"/>
          <w:sz w:val="20"/>
          <w:szCs w:val="20"/>
        </w:rPr>
        <w:t xml:space="preserve">Exporter depuis WinBIZ : bilan, compte de résultat, grand livre complet de la période</w:t>
      </w:r>
    </w:p>
    <w:p>
      <w:pPr>
        <w:pStyle w:val="ListParagraph"/>
        <w:numPr>
          <w:ilvl w:val="0"/>
          <w:numId w:val="7"/>
        </w:numPr>
        <w:spacing w:after="40" w:before="40"/>
      </w:pPr>
      <w:r>
        <w:rPr>
          <w:rFonts w:ascii="Arial" w:cs="Arial" w:eastAsia="Arial" w:hAnsi="Arial"/>
          <w:color w:val="2C2C2C"/>
          <w:sz w:val="20"/>
          <w:szCs w:val="20"/>
        </w:rPr>
        <w:t xml:space="preserve">Anonymiser : numéro de dossier uniquement</w:t>
      </w:r>
    </w:p>
    <w:p>
      <w:pPr>
        <w:pStyle w:val="ListParagraph"/>
        <w:numPr>
          <w:ilvl w:val="0"/>
          <w:numId w:val="7"/>
        </w:numPr>
        <w:spacing w:after="40" w:before="40"/>
      </w:pPr>
      <w:r>
        <w:rPr>
          <w:rFonts w:ascii="Arial" w:cs="Arial" w:eastAsia="Arial" w:hAnsi="Arial"/>
          <w:color w:val="2C2C2C"/>
          <w:sz w:val="20"/>
          <w:szCs w:val="20"/>
        </w:rPr>
        <w:t xml:space="preserve">Coller dans Claude avec le prompt type ci-dessous</w:t>
      </w:r>
    </w:p>
    <w:p>
      <w:pPr>
        <w:pStyle w:val="ListParagraph"/>
        <w:numPr>
          <w:ilvl w:val="0"/>
          <w:numId w:val="7"/>
        </w:numPr>
        <w:spacing w:after="40" w:before="40"/>
      </w:pPr>
      <w:r>
        <w:rPr>
          <w:rFonts w:ascii="Arial" w:cs="Arial" w:eastAsia="Arial" w:hAnsi="Arial"/>
          <w:color w:val="2C2C2C"/>
          <w:sz w:val="20"/>
          <w:szCs w:val="20"/>
        </w:rPr>
        <w:t xml:space="preserve">Traiter chaque point signalé avant de passer au dossier suivant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1b3f3f" w:sz="6"/>
              <w:bottom w:val="single" w:color="AAAAAA" w:sz="1"/>
              <w:right w:val="single" w:color="AAAAAA" w:sz="1"/>
            </w:tcBorders>
            <w:shd w:fill="F4F4F4" w:val="clear"/>
            <w:tcMar>
              <w:top w:type="dxa" w:w="120"/>
              <w:left w:type="dxa" w:w="180"/>
              <w:bottom w:type="dxa" w:w="120"/>
              <w:right w:type="dxa" w:w="180"/>
            </w:tcMar>
          </w:tcPr>
          <w:p>
            <w:pPr>
              <w:spacing w:after="60" w:before="0"/>
            </w:pPr>
            <w:r>
              <w:rPr>
                <w:rFonts w:ascii="Arial" w:cs="Arial" w:eastAsia="Arial" w:hAnsi="Arial"/>
                <w:b/>
                <w:bCs/>
                <w:color w:val="1b3f3f"/>
                <w:sz w:val="18"/>
                <w:szCs w:val="18"/>
              </w:rPr>
              <w:t xml:space="preserve">Prompt type</w:t>
            </w:r>
          </w:p>
          <w:p>
            <w:pPr>
              <w:spacing w:after="0" w:before="0"/>
            </w:pPr>
            <w:r>
              <w:rPr>
                <w:rFonts w:ascii="Arial" w:cs="Arial" w:eastAsia="Arial" w:hAnsi="Arial"/>
                <w:i/>
                <w:iCs/>
                <w:color w:val="2C2C2C"/>
                <w:sz w:val="19"/>
                <w:szCs w:val="19"/>
              </w:rPr>
              <w:t xml:space="preserve">Voici le bilan, le compte de résultat et le grand livre pour le dossier [XXXX], mois de [mois/année]. Effectue une vérification de clôture mensuelle : vérifie que le bilan est équilibré, que les charges récurrentes (loyer, salaires, assurances) sont présentes, qu'il n'y a pas d'écritures en sens inverse suspect, et que les comptes transitoires sont apurés. Signale tout point nécessitant une correction ou une vérification manuelle.</w:t>
            </w:r>
          </w:p>
        </w:tc>
      </w:tr>
    </w:tbl>
    <w:p>
      <w:pPr>
        <w:spacing w:after="60" w:before="60"/>
      </w:pPr>
      <w:r>
        <w:t xml:space="preserve"/>
      </w:r>
    </w:p>
    <w:p>
      <w:pPr>
        <w:spacing w:after="200" w:before="400"/>
      </w:pPr>
      <w:r>
        <w:rPr>
          <w:rFonts w:ascii="Arial" w:cs="Arial" w:eastAsia="Arial" w:hAnsi="Arial"/>
          <w:b/>
          <w:bCs/>
          <w:color w:val="1b3f3f"/>
          <w:sz w:val="32"/>
          <w:szCs w:val="32"/>
        </w:rPr>
        <w:t xml:space="preserve">Workflow 4 — Commentaire bilan et compte de résultat</w:t>
      </w:r>
    </w:p>
    <w:p>
      <w:pPr>
        <w:spacing w:after="100" w:before="220"/>
      </w:pPr>
      <w:r>
        <w:rPr>
          <w:rFonts w:ascii="Arial" w:cs="Arial" w:eastAsia="Arial" w:hAnsi="Arial"/>
          <w:b/>
          <w:bCs/>
          <w:color w:val="2C2C2C"/>
          <w:sz w:val="22"/>
          <w:szCs w:val="22"/>
        </w:rPr>
        <w:t xml:space="preserve">Objectif</w:t>
      </w:r>
    </w:p>
    <w:p>
      <w:pPr>
        <w:spacing w:after="80" w:before="60"/>
      </w:pPr>
      <w:r>
        <w:rPr>
          <w:rFonts w:ascii="Arial" w:cs="Arial" w:eastAsia="Arial" w:hAnsi="Arial"/>
          <w:color w:val="2C2C2C"/>
          <w:sz w:val="20"/>
          <w:szCs w:val="20"/>
        </w:rPr>
        <w:t xml:space="preserve">Détecter les variations significatives dans le bilan et le P&amp;L, puis rédiger un commentaire structuré à destination du client. Ce workflow s'applique aussi bien aux situations intermédiaires qu'à la clôture annuelle.</w:t>
      </w:r>
    </w:p>
    <w:p>
      <w:pPr>
        <w:spacing w:after="60" w:before="60"/>
      </w:pPr>
      <w:r>
        <w:t xml:space="preserve"/>
      </w:r>
    </w:p>
    <w:p>
      <w:pPr>
        <w:spacing w:after="100" w:before="220"/>
      </w:pPr>
      <w:r>
        <w:rPr>
          <w:rFonts w:ascii="Arial" w:cs="Arial" w:eastAsia="Arial" w:hAnsi="Arial"/>
          <w:b/>
          <w:bCs/>
          <w:color w:val="2C2C2C"/>
          <w:sz w:val="22"/>
          <w:szCs w:val="22"/>
        </w:rPr>
        <w:t xml:space="preserve">Deux niveaux de commentaire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f3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226"/>
            <w:tcBorders>
              <w:top w:val="single" w:color="CCCCCC" w:sz="1"/>
              <w:left w:val="single" w:color="CCCCCC" w:sz="1"/>
              <w:bottom w:val="single" w:color="CCCCCC" w:sz="1"/>
              <w:right w:val="single" w:color="CCCCCC" w:sz="1"/>
            </w:tcBorders>
            <w:shd w:fill="1b3f3f" w:val="clear"/>
            <w:tcMar>
              <w:top w:type="dxa" w:w="80"/>
              <w:left w:type="dxa" w:w="120"/>
              <w:bottom w:type="dxa" w:w="80"/>
              <w:right w:type="dxa" w:w="120"/>
            </w:tcMar>
          </w:tcPr>
          <w:p>
            <w:r>
              <w:rPr>
                <w:rFonts w:ascii="Arial" w:cs="Arial" w:eastAsia="Arial" w:hAnsi="Arial"/>
                <w:b/>
                <w:bCs/>
                <w:color w:val="FFFFFF"/>
                <w:sz w:val="20"/>
                <w:szCs w:val="20"/>
              </w:rPr>
              <w:t xml:space="preserve">Ton et contenu attendu</w:t>
            </w:r>
          </w:p>
        </w:tc>
      </w:tr>
      <w:tr>
        <w:tc>
          <w:tcPr>
            <w:tcW w:type="dxa" w:w="28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1b3f3f"/>
                <w:sz w:val="20"/>
                <w:szCs w:val="20"/>
              </w:rPr>
              <w:t xml:space="preserve">Situation intermédiaire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 sobre. Signaler les variations importantes sans conclusions définitives. "Voici où on en est."</w:t>
            </w:r>
          </w:p>
        </w:tc>
      </w:tr>
      <w:tr>
        <w:tc>
          <w:tcPr>
            <w:tcW w:type="dxa" w:w="2800"/>
            <w:tcBorders>
              <w:top w:val="single" w:color="CCCCCC" w:sz="1"/>
              <w:left w:val="single" w:color="CCCCCC" w:sz="1"/>
              <w:bottom w:val="single" w:color="CCCCCC" w:sz="1"/>
              <w:right w:val="single" w:color="CCCCCC" w:sz="1"/>
            </w:tcBorders>
            <w:shd w:fill="E8F4F0" w:val="clear"/>
            <w:tcMar>
              <w:top w:type="dxa" w:w="80"/>
              <w:left w:type="dxa" w:w="120"/>
              <w:bottom w:type="dxa" w:w="80"/>
              <w:right w:type="dxa" w:w="120"/>
            </w:tcMar>
          </w:tcPr>
          <w:p>
            <w:r>
              <w:rPr>
                <w:rFonts w:ascii="Arial" w:cs="Arial" w:eastAsia="Arial" w:hAnsi="Arial"/>
                <w:b/>
                <w:bCs/>
                <w:color w:val="1b3f3f"/>
                <w:sz w:val="20"/>
                <w:szCs w:val="20"/>
              </w:rPr>
              <w:t xml:space="preserve">Clôture annuelle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Analyse complète des tendances. Base pour la discussion fiscale. Ton expert et structuré.</w:t>
            </w:r>
          </w:p>
        </w:tc>
      </w:tr>
    </w:tbl>
    <w:p>
      <w:pPr>
        <w:spacing w:after="60" w:before="60"/>
      </w:pPr>
      <w:r>
        <w:t xml:space="preserve"/>
      </w:r>
    </w:p>
    <w:p>
      <w:pPr>
        <w:spacing w:after="100" w:before="220"/>
      </w:pPr>
      <w:r>
        <w:rPr>
          <w:rFonts w:ascii="Arial" w:cs="Arial" w:eastAsia="Arial" w:hAnsi="Arial"/>
          <w:b/>
          <w:bCs/>
          <w:color w:val="2C2C2C"/>
          <w:sz w:val="22"/>
          <w:szCs w:val="22"/>
        </w:rPr>
        <w:t xml:space="preserve">Seuils d'alerte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4F0" w:val="clear"/>
            <w:tcMar>
              <w:top w:type="dxa" w:w="120"/>
              <w:left w:type="dxa" w:w="180"/>
              <w:bottom w:type="dxa" w:w="120"/>
              <w:right w:type="dxa" w:w="180"/>
            </w:tcMar>
          </w:tcPr>
          <w:p>
            <w:pPr>
              <w:spacing w:after="80" w:before="0"/>
            </w:pPr>
            <w:r>
              <w:rPr>
                <w:rFonts w:ascii="Arial" w:cs="Arial" w:eastAsia="Arial" w:hAnsi="Arial"/>
                <w:b/>
                <w:bCs/>
                <w:color w:val="1b3f3f"/>
                <w:sz w:val="20"/>
                <w:szCs w:val="20"/>
              </w:rPr>
              <w:t xml:space="preserve">Variations à commenter — basées sur le chiffre d'affaires</w:t>
            </w:r>
          </w:p>
          <w:p>
            <w:pPr>
              <w:pStyle w:val="ListParagraph"/>
              <w:numPr>
                <w:ilvl w:val="0"/>
                <w:numId w:val="2"/>
              </w:numPr>
              <w:spacing w:after="30" w:before="30"/>
            </w:pPr>
            <w:r>
              <w:rPr>
                <w:rFonts w:ascii="Arial" w:cs="Arial" w:eastAsia="Arial" w:hAnsi="Arial"/>
                <w:color w:val="2C2C2C"/>
                <w:sz w:val="19"/>
                <w:szCs w:val="19"/>
              </w:rPr>
              <w:t xml:space="preserve">Variation &gt; 10% du CA : significative — à commenter obligatoirement</w:t>
            </w:r>
          </w:p>
          <w:p>
            <w:pPr>
              <w:pStyle w:val="ListParagraph"/>
              <w:numPr>
                <w:ilvl w:val="0"/>
                <w:numId w:val="2"/>
              </w:numPr>
              <w:spacing w:after="30" w:before="30"/>
            </w:pPr>
            <w:r>
              <w:rPr>
                <w:rFonts w:ascii="Arial" w:cs="Arial" w:eastAsia="Arial" w:hAnsi="Arial"/>
                <w:color w:val="2C2C2C"/>
                <w:sz w:val="19"/>
                <w:szCs w:val="19"/>
              </w:rPr>
              <w:t xml:space="preserve">Variation &gt; 5% du CA : notable — à mentionner si l'explication n'est pas évidente</w:t>
            </w:r>
          </w:p>
          <w:p>
            <w:pPr>
              <w:pStyle w:val="ListParagraph"/>
              <w:numPr>
                <w:ilvl w:val="0"/>
                <w:numId w:val="2"/>
              </w:numPr>
              <w:spacing w:after="30" w:before="30"/>
            </w:pPr>
            <w:r>
              <w:rPr>
                <w:rFonts w:ascii="Arial" w:cs="Arial" w:eastAsia="Arial" w:hAnsi="Arial"/>
                <w:color w:val="2C2C2C"/>
                <w:sz w:val="19"/>
                <w:szCs w:val="19"/>
              </w:rPr>
              <w:t xml:space="preserve">Ces seuils s'appliquent automatiquement quelle que soit la taille du dossier</w:t>
            </w:r>
          </w:p>
        </w:tc>
      </w:tr>
    </w:tbl>
    <w:p>
      <w:pPr>
        <w:spacing w:after="60" w:before="60"/>
      </w:pPr>
      <w:r>
        <w:t xml:space="preserve"/>
      </w:r>
    </w:p>
    <w:p>
      <w:pPr>
        <w:spacing w:after="100" w:before="220"/>
      </w:pPr>
      <w:r>
        <w:rPr>
          <w:rFonts w:ascii="Arial" w:cs="Arial" w:eastAsia="Arial" w:hAnsi="Arial"/>
          <w:b/>
          <w:bCs/>
          <w:color w:val="2C2C2C"/>
          <w:sz w:val="22"/>
          <w:szCs w:val="22"/>
        </w:rPr>
        <w:t xml:space="preserve">Étapes</w:t>
      </w:r>
    </w:p>
    <w:p>
      <w:pPr>
        <w:pStyle w:val="ListParagraph"/>
        <w:numPr>
          <w:ilvl w:val="0"/>
          <w:numId w:val="8"/>
        </w:numPr>
        <w:spacing w:after="40" w:before="40"/>
      </w:pPr>
      <w:r>
        <w:rPr>
          <w:rFonts w:ascii="Arial" w:cs="Arial" w:eastAsia="Arial" w:hAnsi="Arial"/>
          <w:color w:val="2C2C2C"/>
          <w:sz w:val="20"/>
          <w:szCs w:val="20"/>
        </w:rPr>
        <w:t xml:space="preserve">Exporter depuis WinBIZ : bilan + P&amp;L période N vs période N-1</w:t>
      </w:r>
    </w:p>
    <w:p>
      <w:pPr>
        <w:pStyle w:val="ListParagraph"/>
        <w:numPr>
          <w:ilvl w:val="0"/>
          <w:numId w:val="8"/>
        </w:numPr>
        <w:spacing w:after="40" w:before="40"/>
      </w:pPr>
      <w:r>
        <w:rPr>
          <w:rFonts w:ascii="Arial" w:cs="Arial" w:eastAsia="Arial" w:hAnsi="Arial"/>
          <w:color w:val="2C2C2C"/>
          <w:sz w:val="20"/>
          <w:szCs w:val="20"/>
        </w:rPr>
        <w:t xml:space="preserve">Anonymiser : numéro de dossier, secteur d'activité générique (ex. : "services", "commerce", "immobilier")</w:t>
      </w:r>
    </w:p>
    <w:p>
      <w:pPr>
        <w:pStyle w:val="ListParagraph"/>
        <w:numPr>
          <w:ilvl w:val="0"/>
          <w:numId w:val="8"/>
        </w:numPr>
        <w:spacing w:after="40" w:before="40"/>
      </w:pPr>
      <w:r>
        <w:rPr>
          <w:rFonts w:ascii="Arial" w:cs="Arial" w:eastAsia="Arial" w:hAnsi="Arial"/>
          <w:color w:val="2C2C2C"/>
          <w:sz w:val="20"/>
          <w:szCs w:val="20"/>
        </w:rPr>
        <w:t xml:space="preserve">Indiquer le type de commentaire attendu : situation intermédiaire ou clôture annuelle</w:t>
      </w:r>
    </w:p>
    <w:p>
      <w:pPr>
        <w:pStyle w:val="ListParagraph"/>
        <w:numPr>
          <w:ilvl w:val="0"/>
          <w:numId w:val="8"/>
        </w:numPr>
        <w:spacing w:after="40" w:before="40"/>
      </w:pPr>
      <w:r>
        <w:rPr>
          <w:rFonts w:ascii="Arial" w:cs="Arial" w:eastAsia="Arial" w:hAnsi="Arial"/>
          <w:color w:val="2C2C2C"/>
          <w:sz w:val="20"/>
          <w:szCs w:val="20"/>
        </w:rPr>
        <w:t xml:space="preserve">Coller dans Claude avec le prompt type ci-dessous</w:t>
      </w:r>
    </w:p>
    <w:p>
      <w:pPr>
        <w:pStyle w:val="ListParagraph"/>
        <w:numPr>
          <w:ilvl w:val="0"/>
          <w:numId w:val="8"/>
        </w:numPr>
        <w:spacing w:after="40" w:before="40"/>
      </w:pPr>
      <w:r>
        <w:rPr>
          <w:rFonts w:ascii="Arial" w:cs="Arial" w:eastAsia="Arial" w:hAnsi="Arial"/>
          <w:color w:val="2C2C2C"/>
          <w:sz w:val="20"/>
          <w:szCs w:val="20"/>
        </w:rPr>
        <w:t xml:space="preserve">Valider les variations identifiées avec la réalité du dossier</w:t>
      </w:r>
    </w:p>
    <w:p>
      <w:pPr>
        <w:pStyle w:val="ListParagraph"/>
        <w:numPr>
          <w:ilvl w:val="0"/>
          <w:numId w:val="8"/>
        </w:numPr>
        <w:spacing w:after="40" w:before="40"/>
      </w:pPr>
      <w:r>
        <w:rPr>
          <w:rFonts w:ascii="Arial" w:cs="Arial" w:eastAsia="Arial" w:hAnsi="Arial"/>
          <w:color w:val="2C2C2C"/>
          <w:sz w:val="20"/>
          <w:szCs w:val="20"/>
        </w:rPr>
        <w:t xml:space="preserve">Adapter le commentaire rédigé par Claude avant envoi client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AAAA" w:sz="1"/>
              <w:left w:val="single" w:color="1b3f3f" w:sz="6"/>
              <w:bottom w:val="single" w:color="AAAAAA" w:sz="1"/>
              <w:right w:val="single" w:color="AAAAAA" w:sz="1"/>
            </w:tcBorders>
            <w:shd w:fill="F4F4F4" w:val="clear"/>
            <w:tcMar>
              <w:top w:type="dxa" w:w="120"/>
              <w:left w:type="dxa" w:w="180"/>
              <w:bottom w:type="dxa" w:w="120"/>
              <w:right w:type="dxa" w:w="180"/>
            </w:tcMar>
          </w:tcPr>
          <w:p>
            <w:pPr>
              <w:spacing w:after="60" w:before="0"/>
            </w:pPr>
            <w:r>
              <w:rPr>
                <w:rFonts w:ascii="Arial" w:cs="Arial" w:eastAsia="Arial" w:hAnsi="Arial"/>
                <w:b/>
                <w:bCs/>
                <w:color w:val="1b3f3f"/>
                <w:sz w:val="18"/>
                <w:szCs w:val="18"/>
              </w:rPr>
              <w:t xml:space="preserve">Prompt type</w:t>
            </w:r>
          </w:p>
          <w:p>
            <w:pPr>
              <w:spacing w:after="0" w:before="0"/>
            </w:pPr>
            <w:r>
              <w:rPr>
                <w:rFonts w:ascii="Arial" w:cs="Arial" w:eastAsia="Arial" w:hAnsi="Arial"/>
                <w:i/>
                <w:iCs/>
                <w:color w:val="2C2C2C"/>
                <w:sz w:val="19"/>
                <w:szCs w:val="19"/>
              </w:rPr>
              <w:t xml:space="preserve">Voici le bilan et le compte de résultat pour le dossier [XXXX], période [N] vs période [N-1]. Secteur : [services / commerce / immobilier]. Type de commentaire : [situation intermédiaire / clôture annuelle]. Identifie toutes les variations supérieures à 10% du CA (à commenter obligatoirement) et supérieures à 5% du CA (à mentionner si non évidente). Pour chaque variation, indique les explications possibles. Rédige ensuite un commentaire structuré adapté au type demandé.</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f3a24" w:sz="4"/>
              <w:left w:val="single" w:color="ef3a24" w:sz="8"/>
              <w:bottom w:val="single" w:color="ef3a24" w:sz="1"/>
              <w:right w:val="single" w:color="ef3a24" w:sz="1"/>
            </w:tcBorders>
            <w:shd w:fill="FEF3F2" w:val="clear"/>
            <w:tcMar>
              <w:top w:type="dxa" w:w="120"/>
              <w:left w:type="dxa" w:w="180"/>
              <w:bottom w:type="dxa" w:w="120"/>
              <w:right w:type="dxa" w:w="180"/>
            </w:tcMar>
          </w:tcPr>
          <w:p>
            <w:pPr>
              <w:spacing w:after="80" w:before="0"/>
            </w:pPr>
            <w:r>
              <w:rPr>
                <w:rFonts w:ascii="Arial" w:cs="Arial" w:eastAsia="Arial" w:hAnsi="Arial"/>
                <w:b/>
                <w:bCs/>
                <w:color w:val="C0392B"/>
                <w:sz w:val="20"/>
                <w:szCs w:val="20"/>
              </w:rPr>
              <w:t xml:space="preserve">⚠  Règle absolue — commentaire client</w:t>
            </w:r>
          </w:p>
          <w:p>
            <w:pPr>
              <w:pStyle w:val="ListParagraph"/>
              <w:numPr>
                <w:ilvl w:val="0"/>
                <w:numId w:val="3"/>
              </w:numPr>
              <w:spacing w:after="30" w:before="30"/>
            </w:pPr>
            <w:r>
              <w:rPr>
                <w:rFonts w:ascii="Arial" w:cs="Arial" w:eastAsia="Arial" w:hAnsi="Arial"/>
                <w:color w:val="2C2C2C"/>
                <w:sz w:val="19"/>
                <w:szCs w:val="19"/>
              </w:rPr>
              <w:t xml:space="preserve">Le commentaire produit par Claude est un brouillon, jamais un envoi direct</w:t>
            </w:r>
          </w:p>
          <w:p>
            <w:pPr>
              <w:pStyle w:val="ListParagraph"/>
              <w:numPr>
                <w:ilvl w:val="0"/>
                <w:numId w:val="3"/>
              </w:numPr>
              <w:spacing w:after="30" w:before="30"/>
            </w:pPr>
            <w:r>
              <w:rPr>
                <w:rFonts w:ascii="Arial" w:cs="Arial" w:eastAsia="Arial" w:hAnsi="Arial"/>
                <w:color w:val="2C2C2C"/>
                <w:sz w:val="19"/>
                <w:szCs w:val="19"/>
              </w:rPr>
              <w:t xml:space="preserve">Claude ne connaît pas le contexte du dossier (investissement, perte de contrat, saisonnalité)</w:t>
            </w:r>
          </w:p>
          <w:p>
            <w:pPr>
              <w:pStyle w:val="ListParagraph"/>
              <w:numPr>
                <w:ilvl w:val="0"/>
                <w:numId w:val="3"/>
              </w:numPr>
              <w:spacing w:after="30" w:before="30"/>
            </w:pPr>
            <w:r>
              <w:rPr>
                <w:rFonts w:ascii="Arial" w:cs="Arial" w:eastAsia="Arial" w:hAnsi="Arial"/>
                <w:color w:val="2C2C2C"/>
                <w:sz w:val="19"/>
                <w:szCs w:val="19"/>
              </w:rPr>
              <w:t xml:space="preserve">Katja valide chaque point avec la réalité du dossier avant toute transmission au client</w:t>
            </w:r>
          </w:p>
        </w:tc>
      </w:tr>
    </w:tbl>
    <w:p>
      <w:pPr>
        <w:spacing w:after="60" w:before="60"/>
      </w:pPr>
      <w:r>
        <w:t xml:space="preserve"/>
      </w:r>
    </w:p>
    <w:p>
      <w:pPr>
        <w:spacing w:after="200" w:before="400"/>
      </w:pPr>
      <w:r>
        <w:rPr>
          <w:rFonts w:ascii="Arial" w:cs="Arial" w:eastAsia="Arial" w:hAnsi="Arial"/>
          <w:b/>
          <w:bCs/>
          <w:color w:val="1b3f3f"/>
          <w:sz w:val="32"/>
          <w:szCs w:val="32"/>
        </w:rPr>
        <w:t xml:space="preserve">Limites à connaître</w:t>
      </w:r>
    </w:p>
    <w:p>
      <w:pPr>
        <w:pStyle w:val="ListParagraph"/>
        <w:numPr>
          <w:ilvl w:val="0"/>
          <w:numId w:val="4"/>
        </w:numPr>
        <w:spacing w:after="40" w:before="40"/>
      </w:pPr>
      <w:r>
        <w:rPr>
          <w:rFonts w:ascii="Arial" w:cs="Arial" w:eastAsia="Arial" w:hAnsi="Arial"/>
          <w:color w:val="2C2C2C"/>
          <w:sz w:val="20"/>
          <w:szCs w:val="20"/>
        </w:rPr>
        <w:t xml:space="preserve">Claude n'a pas accès à WinBIZ — il analyse uniquement ce qu'on lui colle</w:t>
      </w:r>
    </w:p>
    <w:p>
      <w:pPr>
        <w:pStyle w:val="ListParagraph"/>
        <w:numPr>
          <w:ilvl w:val="0"/>
          <w:numId w:val="4"/>
        </w:numPr>
        <w:spacing w:after="40" w:before="40"/>
      </w:pPr>
      <w:r>
        <w:rPr>
          <w:rFonts w:ascii="Arial" w:cs="Arial" w:eastAsia="Arial" w:hAnsi="Arial"/>
          <w:color w:val="2C2C2C"/>
          <w:sz w:val="20"/>
          <w:szCs w:val="20"/>
        </w:rPr>
        <w:t xml:space="preserve">Claude ne mémorise pas d'une session à l'autre — tout contexte doit être redonné à chaque nouvelle conversation</w:t>
      </w:r>
    </w:p>
    <w:p>
      <w:pPr>
        <w:pStyle w:val="ListParagraph"/>
        <w:numPr>
          <w:ilvl w:val="0"/>
          <w:numId w:val="4"/>
        </w:numPr>
        <w:spacing w:after="40" w:before="40"/>
      </w:pPr>
      <w:r>
        <w:rPr>
          <w:rFonts w:ascii="Arial" w:cs="Arial" w:eastAsia="Arial" w:hAnsi="Arial"/>
          <w:color w:val="2C2C2C"/>
          <w:sz w:val="20"/>
          <w:szCs w:val="20"/>
        </w:rPr>
        <w:t xml:space="preserve">Claude peut se tromper — ses analyses sont un point de départ, pas une conclusion</w:t>
      </w:r>
    </w:p>
    <w:p>
      <w:pPr>
        <w:pStyle w:val="ListParagraph"/>
        <w:numPr>
          <w:ilvl w:val="0"/>
          <w:numId w:val="4"/>
        </w:numPr>
        <w:spacing w:after="40" w:before="40"/>
      </w:pPr>
      <w:r>
        <w:rPr>
          <w:rFonts w:ascii="Arial" w:cs="Arial" w:eastAsia="Arial" w:hAnsi="Arial"/>
          <w:color w:val="2C2C2C"/>
          <w:sz w:val="20"/>
          <w:szCs w:val="20"/>
        </w:rPr>
        <w:t xml:space="preserve">Claude ne connaît pas les spécificités d'un dossier — contexte client, historique, accords particuliers</w:t>
      </w:r>
    </w:p>
    <w:p>
      <w:pPr>
        <w:pStyle w:val="ListParagraph"/>
        <w:numPr>
          <w:ilvl w:val="0"/>
          <w:numId w:val="4"/>
        </w:numPr>
        <w:spacing w:after="40" w:before="40"/>
      </w:pPr>
      <w:r>
        <w:rPr>
          <w:rFonts w:ascii="Arial" w:cs="Arial" w:eastAsia="Arial" w:hAnsi="Arial"/>
          <w:color w:val="2C2C2C"/>
          <w:sz w:val="20"/>
          <w:szCs w:val="20"/>
        </w:rPr>
        <w:t xml:space="preserve">Claude ne remplace pas le jugement professionnel de Katja sur un dossier</w:t>
      </w:r>
    </w:p>
    <w:p>
      <w:pPr>
        <w:spacing w:after="60" w:before="60"/>
      </w:pPr>
      <w:r>
        <w:t xml:space="preserve"/>
      </w:r>
    </w:p>
    <w:p>
      <w:pPr>
        <w:spacing w:after="200" w:before="400"/>
      </w:pPr>
      <w:r>
        <w:rPr>
          <w:rFonts w:ascii="Arial" w:cs="Arial" w:eastAsia="Arial" w:hAnsi="Arial"/>
          <w:b/>
          <w:bCs/>
          <w:color w:val="1b3f3f"/>
          <w:sz w:val="32"/>
          <w:szCs w:val="32"/>
        </w:rPr>
        <w:t xml:space="preserve">Résumé — Les 5 règles à retenir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CCCCCC" w:sz="1"/>
              <w:left w:val="single" w:color="CCCCCC" w:sz="1"/>
              <w:bottom w:val="single" w:color="CCCCCC" w:sz="1"/>
              <w:right w:val="single" w:color="CCCCCC" w:sz="1"/>
            </w:tcBorders>
            <w:shd w:fill="1b3f3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1</w:t>
            </w:r>
          </w:p>
        </w:tc>
        <w:tc>
          <w:tcPr>
            <w:tcW w:type="dxa" w:w="8426"/>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2C2C2C"/>
                <w:sz w:val="20"/>
                <w:szCs w:val="20"/>
              </w:rPr>
              <w:t xml:space="preserve">Numéro de dossier WinBIZ uniquement — jamais de nom client</w:t>
            </w:r>
          </w:p>
        </w:tc>
      </w:tr>
      <w:tr>
        <w:tc>
          <w:tcPr>
            <w:tcW w:type="dxa" w:w="600"/>
            <w:tcBorders>
              <w:top w:val="single" w:color="CCCCCC" w:sz="1"/>
              <w:left w:val="single" w:color="CCCCCC" w:sz="1"/>
              <w:bottom w:val="single" w:color="CCCCCC" w:sz="1"/>
              <w:right w:val="single" w:color="CCCCCC" w:sz="1"/>
            </w:tcBorders>
            <w:shd w:fill="1b3f3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w:t>
            </w:r>
          </w:p>
        </w:tc>
        <w:tc>
          <w:tcPr>
            <w:tcW w:type="dxa" w:w="8426"/>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2C2C2C"/>
                <w:sz w:val="20"/>
                <w:szCs w:val="20"/>
              </w:rPr>
              <w:t xml:space="preserve">Vérifier l'export avant de coller — dates, solde d'ouverture, complétude</w:t>
            </w:r>
          </w:p>
        </w:tc>
      </w:tr>
      <w:tr>
        <w:tc>
          <w:tcPr>
            <w:tcW w:type="dxa" w:w="600"/>
            <w:tcBorders>
              <w:top w:val="single" w:color="CCCCCC" w:sz="1"/>
              <w:left w:val="single" w:color="CCCCCC" w:sz="1"/>
              <w:bottom w:val="single" w:color="CCCCCC" w:sz="1"/>
              <w:right w:val="single" w:color="CCCCCC" w:sz="1"/>
            </w:tcBorders>
            <w:shd w:fill="1b3f3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3</w:t>
            </w:r>
          </w:p>
        </w:tc>
        <w:tc>
          <w:tcPr>
            <w:tcW w:type="dxa" w:w="8426"/>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2C2C2C"/>
                <w:sz w:val="20"/>
                <w:szCs w:val="20"/>
              </w:rPr>
              <w:t xml:space="preserve">Une session = un dossier — ouvrir une nouvelle conversation par client</w:t>
            </w:r>
          </w:p>
        </w:tc>
      </w:tr>
      <w:tr>
        <w:tc>
          <w:tcPr>
            <w:tcW w:type="dxa" w:w="600"/>
            <w:tcBorders>
              <w:top w:val="single" w:color="CCCCCC" w:sz="1"/>
              <w:left w:val="single" w:color="CCCCCC" w:sz="1"/>
              <w:bottom w:val="single" w:color="CCCCCC" w:sz="1"/>
              <w:right w:val="single" w:color="CCCCCC" w:sz="1"/>
            </w:tcBorders>
            <w:shd w:fill="1b3f3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4</w:t>
            </w:r>
          </w:p>
        </w:tc>
        <w:tc>
          <w:tcPr>
            <w:tcW w:type="dxa" w:w="8426"/>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2C2C2C"/>
                <w:sz w:val="20"/>
                <w:szCs w:val="20"/>
              </w:rPr>
              <w:t xml:space="preserve">Valider les anomalies avec la réalité du dossier avant toute action</w:t>
            </w:r>
          </w:p>
        </w:tc>
      </w:tr>
      <w:tr>
        <w:tc>
          <w:tcPr>
            <w:tcW w:type="dxa" w:w="600"/>
            <w:tcBorders>
              <w:top w:val="single" w:color="CCCCCC" w:sz="1"/>
              <w:left w:val="single" w:color="CCCCCC" w:sz="1"/>
              <w:bottom w:val="single" w:color="CCCCCC" w:sz="1"/>
              <w:right w:val="single" w:color="CCCCCC" w:sz="1"/>
            </w:tcBorders>
            <w:shd w:fill="1b3f3f"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5</w:t>
            </w:r>
          </w:p>
        </w:tc>
        <w:tc>
          <w:tcPr>
            <w:tcW w:type="dxa" w:w="8426"/>
            <w:tcBorders>
              <w:top w:val="single" w:color="CCCCCC" w:sz="1"/>
              <w:left w:val="single" w:color="CCCCCC" w:sz="1"/>
              <w:bottom w:val="single" w:color="CCCCCC" w:sz="1"/>
              <w:right w:val="single" w:color="CCCCCC" w:sz="1"/>
            </w:tcBorders>
            <w:tcMar>
              <w:top w:type="dxa" w:w="100"/>
              <w:left w:type="dxa" w:w="160"/>
              <w:bottom w:type="dxa" w:w="100"/>
              <w:right w:type="dxa" w:w="120"/>
            </w:tcMar>
          </w:tcPr>
          <w:p>
            <w:r>
              <w:rPr>
                <w:rFonts w:ascii="Arial" w:cs="Arial" w:eastAsia="Arial" w:hAnsi="Arial"/>
                <w:color w:val="2C2C2C"/>
                <w:sz w:val="20"/>
                <w:szCs w:val="20"/>
              </w:rPr>
              <w:t xml:space="preserve">Le commentaire Claude est un brouillon — jamais un envoi direct</w:t>
            </w:r>
          </w:p>
        </w:tc>
      </w:tr>
    </w:tbl>
    <w:p>
      <w:pPr>
        <w:spacing w:after="60" w:before="60"/>
      </w:pPr>
      <w:r>
        <w:t xml:space="preserve"/>
      </w:r>
    </w:p>
    <w:p>
      <w:pPr>
        <w:spacing w:after="60" w:before="60"/>
      </w:pPr>
      <w:r>
        <w:t xml:space="preserve"/>
      </w:r>
    </w:p>
    <w:p>
      <w:pPr>
        <w:pBdr>
          <w:top w:val="single" w:color="CCCCCC" w:sz="2" w:space="4"/>
        </w:pBdr>
        <w:spacing w:after="0" w:before="200"/>
      </w:pPr>
      <w:r>
        <w:rPr>
          <w:rFonts w:ascii="Arial" w:cs="Arial" w:eastAsia="Arial" w:hAnsi="Arial"/>
          <w:color w:val="AAAAAA"/>
          <w:sz w:val="16"/>
          <w:szCs w:val="16"/>
        </w:rPr>
        <w:t xml:space="preserve">PHI Fiduciaire Sàrl  ·  Rue de Malatrex 38, 1201 Genève  ·  Usage interne — confidentiel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360" w:hanging="180"/>
      </w:pPr>
    </w:lvl>
  </w:abstractNum>
  <w:abstractNum w:abstractNumId="4" w15:restartNumberingAfterBreak="0">
    <w:multiLevelType w:val="hybridMultilevel"/>
    <w:lvl w:ilvl="0" w15:tentative="1">
      <w:start w:val="1"/>
      <w:numFmt w:val="bullet"/>
      <w:lvlText w:val="–"/>
      <w:lvlJc w:val="left"/>
      <w:pPr>
        <w:ind w:left="360" w:hanging="180"/>
      </w:pPr>
    </w:lvl>
  </w:abstractNum>
  <w:abstractNum w:abstractNumId="5" w15:restartNumberingAfterBreak="0">
    <w:multiLevelType w:val="hybridMultilevel"/>
    <w:lvl w:ilvl="0" w15:tentative="1">
      <w:start w:val="1"/>
      <w:numFmt w:val="decimal"/>
      <w:lvlText w:val="%1."/>
      <w:lvlJc w:val="left"/>
      <w:pPr>
        <w:ind w:left="480" w:hanging="240"/>
      </w:pPr>
    </w:lvl>
  </w:abstractNum>
  <w:abstractNum w:abstractNumId="6" w15:restartNumberingAfterBreak="0">
    <w:multiLevelType w:val="hybridMultilevel"/>
    <w:lvl w:ilvl="0" w15:tentative="1">
      <w:start w:val="1"/>
      <w:numFmt w:val="decimal"/>
      <w:lvlText w:val="%1."/>
      <w:lvlJc w:val="left"/>
      <w:pPr>
        <w:ind w:left="480" w:hanging="240"/>
      </w:pPr>
    </w:lvl>
  </w:abstractNum>
  <w:abstractNum w:abstractNumId="7" w15:restartNumberingAfterBreak="0">
    <w:multiLevelType w:val="hybridMultilevel"/>
    <w:lvl w:ilvl="0" w15:tentative="1">
      <w:start w:val="1"/>
      <w:numFmt w:val="decimal"/>
      <w:lvlText w:val="%1."/>
      <w:lvlJc w:val="left"/>
      <w:pPr>
        <w:ind w:left="480" w:hanging="240"/>
      </w:pPr>
    </w:lvl>
  </w:abstractNum>
  <w:abstractNum w:abstractNumId="8"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2026-05-03T11:19:55.584Z</dcterms:created>
  <dcterms:modified xsi:type="dcterms:W3CDTF">2026-05-03T11:19:55.600Z</dcterms:modified>
</cp:coreProperties>
</file>

<file path=docProps/custom.xml><?xml version="1.0" encoding="utf-8"?>
<Properties xmlns="http://schemas.openxmlformats.org/officeDocument/2006/custom-properties" xmlns:vt="http://schemas.openxmlformats.org/officeDocument/2006/docPropsVTypes"/>
</file>