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وجدنا في دراستنا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spacing w:after="0"/>
            </w:pPr>
            <w:r>
              <w:rPr>
                <w:rFonts w:ascii="Dubai" w:hAnsi="Dubai" w:cs="Dubai"/>
                <w:b w:val="0"/>
                <w:sz w:val="22"/>
                <w:szCs w:val="22"/>
              </w:rPr>
              <w:t>قِسنا مستويات هذا البروتين لدى ثلاث مجموعات: مجموعة قارنّا فيها أشخاصاً أصحّاء بمرضى مستقرّين وآخرين في طور نشاط المرض؛ ومجموعة تابعناها قبل نوبات النشاط وأثناءها وبعدها؛ ومجموعة من المرضى حديثي التشخيص تابعناهم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وعليه فقد يصلح هذا البروتين مؤشراً حيوياً ديناميكياً غير باضع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In our study we found it enriched on serum-derived exosomes in patients with relapsing-remitting MS, where it reflects both current disease activity and future risk.</w:t>
            </w:r>
          </w:p>
          <w:p>
            <w:pPr>
              <w:spacing w:after="0"/>
            </w:pPr>
            <w:r>
              <w:rPr>
                <w:rFonts w:ascii="Dubai" w:hAnsi="Dubai" w:cs="Dubai"/>
                <w:b w:val="0"/>
                <w:sz w:val="22"/>
                <w:szCs w:val="22"/>
              </w:rPr>
              <w:t>We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Exosomal pHERV-W ENV may therefore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بنينا في دراستنا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In our study we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