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الخارجية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تهمة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In our study we found it enriched on serum-derived exosomes in patients with relapsing-remitting MS, where it reflects both current disease activity and future risk.</w:t>
            </w:r>
          </w:p>
          <w:p>
            <w:pPr>
              <w:spacing w:after="0"/>
            </w:pPr>
            <w:r>
              <w:rPr>
                <w:rFonts w:ascii="Dubai" w:hAnsi="Dubai" w:cs="Dubai"/>
                <w:b w:val="0"/>
                <w:sz w:val="22"/>
                <w:szCs w:val="22"/>
              </w:rPr>
              <w:t>We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Exosomal pHERV-W ENV may therefore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In our study we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مركز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الشامسي</w:t>
            </w:r>
          </w:p>
        </w:tc>
        <w:tc>
          <w:tcPr>
            <w:tcW w:type="dxa" w:w="2592"/>
          </w:tcPr>
          <w:p>
            <w:pPr>
              <w:bidi/>
              <w:spacing w:after="0" w:before="0"/>
            </w:pPr>
            <w:r>
              <w:rPr>
                <w:rFonts w:ascii="Dubai" w:hAnsi="Dubai" w:cs="Dubai"/>
                <w:b w:val="0"/>
                <w:sz w:val="22"/>
                <w:szCs w:val="22"/>
                <w:rtl/>
              </w:rPr>
              <w:t>الرئيس التنفيذي لمعهد برجيل للسرطان،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