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spacing w:after="0" w:before="0"/>
        <w:jc w:val="center"/>
      </w:pPr>
      <w:r>
        <w:rPr>
          <w:rFonts w:ascii="Dubai" w:hAnsi="Dubai" w:cs="Dubai"/>
          <w:b/>
          <w:sz w:val="30"/>
          <w:szCs w:val="30"/>
          <w:bCs/>
          <w:rtl/>
        </w:rPr>
        <w:t>كشف الفائزين للجوائز الطبية 2026</w:t>
      </w:r>
    </w:p>
    <w:p>
      <w:pPr>
        <w:bidi/>
        <w:spacing w:after="0" w:before="0"/>
      </w:pPr>
    </w:p>
    <w:p>
      <w:pPr>
        <w:bidi/>
        <w:spacing w:after="0" w:before="0"/>
        <w:jc w:val="center"/>
        <w:shd w:val="clear" w:color="auto" w:fill="B99664"/>
      </w:pPr>
      <w:r>
        <w:rPr>
          <w:rFonts w:ascii="Dubai" w:hAnsi="Dubai" w:cs="Dubai"/>
          <w:b/>
          <w:color w:val="FFFFFF"/>
          <w:sz w:val="26"/>
          <w:szCs w:val="26"/>
          <w:bCs/>
          <w:rtl/>
        </w:rPr>
        <w:t>أولاً: جوائز العالم العربي</w:t>
      </w:r>
    </w:p>
    <w:p>
      <w:pPr>
        <w:bidi/>
        <w:spacing w:after="0" w:before="0"/>
      </w:pPr>
    </w:p>
    <w:tbl>
      <w:tblPr>
        <w:tblStyle w:val="TableGrid"/>
        <w:tblW w:type="auto" w:w="0"/>
        <w:jc w:val="center"/>
        <w:tblLayout w:type="fixed"/>
        <w:tblLook w:firstColumn="1" w:firstRow="1" w:lastColumn="0" w:lastRow="0" w:noHBand="0" w:noVBand="1" w:val="04A0"/>
        <w:bidiVisual/>
        <w:tblBorders>
          <w:top w:val="single" w:sz="12" w:space="0" w:color="7F7F7F"/>
          <w:left w:val="single" w:sz="12" w:space="0" w:color="7F7F7F"/>
          <w:bottom w:val="single" w:sz="12" w:space="0" w:color="7F7F7F"/>
          <w:right w:val="single" w:sz="12" w:space="0" w:color="7F7F7F"/>
          <w:insideH w:val="single" w:sz="6" w:space="0" w:color="7F7F7F"/>
          <w:insideV w:val="single" w:sz="6" w:space="0" w:color="7F7F7F"/>
        </w:tblBorders>
      </w:tblPr>
      <w:tblGrid>
        <w:gridCol w:w="2700"/>
        <w:gridCol w:w="2700"/>
        <w:gridCol w:w="2700"/>
        <w:gridCol w:w="2700"/>
      </w:tblGrid>
      <w:tr>
        <w:tc>
          <w:tcPr>
            <w:tcW w:type="dxa" w:w="10800"/>
            <w:gridSpan w:val="4"/>
            <w:shd w:val="clear" w:color="auto" w:fill="3D959D"/>
          </w:tcPr>
          <w:p>
            <w:pPr>
              <w:bidi/>
              <w:spacing w:after="0" w:before="0"/>
              <w:jc w:val="center"/>
            </w:pPr>
            <w:r>
              <w:rPr>
                <w:rFonts w:ascii="Dubai" w:hAnsi="Dubai" w:cs="Dubai"/>
                <w:b/>
                <w:color w:val="FFFFFF"/>
                <w:sz w:val="24"/>
                <w:szCs w:val="24"/>
                <w:bCs/>
                <w:rtl/>
              </w:rPr>
              <w:t>الجائزة العربية للأبحاث في القطاع الصحي</w:t>
            </w:r>
          </w:p>
        </w:tc>
      </w:tr>
      <w:tr>
        <w:tc>
          <w:tcPr>
            <w:tcW w:type="dxa" w:w="648"/>
            <w:shd w:val="clear" w:color="auto" w:fill="3D959D"/>
          </w:tcPr>
          <w:p>
            <w:pPr>
              <w:bidi/>
              <w:spacing w:after="0" w:before="0"/>
              <w:jc w:val="center"/>
            </w:pPr>
            <w:r>
              <w:rPr>
                <w:rFonts w:ascii="Dubai" w:hAnsi="Dubai" w:cs="Dubai"/>
                <w:b/>
                <w:color w:val="FFFFFF"/>
                <w:sz w:val="22"/>
                <w:szCs w:val="22"/>
                <w:bCs/>
                <w:rtl/>
              </w:rPr>
              <w:t>م</w:t>
            </w:r>
          </w:p>
        </w:tc>
        <w:tc>
          <w:tcPr>
            <w:tcW w:type="dxa" w:w="2736"/>
            <w:shd w:val="clear" w:color="auto" w:fill="3D959D"/>
          </w:tcPr>
          <w:p>
            <w:pPr>
              <w:bidi/>
              <w:spacing w:after="0" w:before="0"/>
              <w:jc w:val="center"/>
            </w:pPr>
            <w:r>
              <w:rPr>
                <w:rFonts w:ascii="Dubai" w:hAnsi="Dubai" w:cs="Dubai"/>
                <w:b/>
                <w:color w:val="FFFFFF"/>
                <w:sz w:val="22"/>
                <w:szCs w:val="22"/>
                <w:bCs/>
                <w:rtl/>
              </w:rPr>
              <w:t>الاسم</w:t>
            </w:r>
          </w:p>
        </w:tc>
        <w:tc>
          <w:tcPr>
            <w:tcW w:type="dxa" w:w="2592"/>
            <w:shd w:val="clear" w:color="auto" w:fill="3D959D"/>
          </w:tcPr>
          <w:p>
            <w:pPr>
              <w:bidi/>
              <w:spacing w:after="0" w:before="0"/>
              <w:jc w:val="center"/>
            </w:pPr>
            <w:r>
              <w:rPr>
                <w:rFonts w:ascii="Dubai" w:hAnsi="Dubai" w:cs="Dubai"/>
                <w:b/>
                <w:color w:val="FFFFFF"/>
                <w:sz w:val="22"/>
                <w:szCs w:val="22"/>
                <w:bCs/>
                <w:rtl/>
              </w:rPr>
              <w:t>الملاحظات</w:t>
            </w:r>
          </w:p>
        </w:tc>
        <w:tc>
          <w:tcPr>
            <w:tcW w:type="dxa" w:w="7488"/>
            <w:shd w:val="clear" w:color="auto" w:fill="3D959D"/>
          </w:tcPr>
          <w:p>
            <w:pPr>
              <w:bidi/>
              <w:spacing w:after="0" w:before="0"/>
              <w:jc w:val="center"/>
            </w:pPr>
            <w:r>
              <w:rPr>
                <w:rFonts w:ascii="Dubai" w:hAnsi="Dubai" w:cs="Dubai"/>
                <w:b/>
                <w:color w:val="FFFFFF"/>
                <w:sz w:val="22"/>
                <w:szCs w:val="22"/>
                <w:bCs/>
                <w:rtl/>
              </w:rPr>
              <w:t>نبذة عن الفائز</w:t>
            </w:r>
          </w:p>
        </w:tc>
      </w:tr>
      <w:tr>
        <w:tc>
          <w:tcPr>
            <w:tcW w:type="dxa" w:w="648"/>
            <w:vAlign w:val="center"/>
          </w:tcPr>
          <w:p>
            <w:pPr>
              <w:bidi/>
              <w:spacing w:after="0" w:before="0"/>
              <w:jc w:val="center"/>
            </w:pPr>
            <w:r>
              <w:rPr>
                <w:rFonts w:ascii="Dubai" w:hAnsi="Dubai" w:cs="Dubai"/>
                <w:b w:val="0"/>
                <w:sz w:val="22"/>
                <w:szCs w:val="22"/>
                <w:rtl/>
              </w:rPr>
              <w:t>1</w:t>
            </w:r>
          </w:p>
        </w:tc>
        <w:tc>
          <w:tcPr>
            <w:tcW w:type="dxa" w:w="2736"/>
          </w:tcPr>
          <w:p>
            <w:pPr>
              <w:bidi/>
              <w:spacing w:after="0" w:before="0"/>
            </w:pPr>
            <w:r>
              <w:rPr>
                <w:rFonts w:ascii="Dubai" w:hAnsi="Dubai" w:cs="Dubai"/>
                <w:b w:val="0"/>
                <w:sz w:val="22"/>
                <w:szCs w:val="22"/>
                <w:rtl/>
              </w:rPr>
              <w:t>بروتين pHERV-W ENV في الحويصلات خارج الخلوية كمؤشر حيوي ديناميكي للتنبؤ بالانتكاسات وتقييم مآل مرض التصلب المتعدد.</w:t>
            </w:r>
          </w:p>
        </w:tc>
        <w:tc>
          <w:tcPr>
            <w:tcW w:type="dxa" w:w="2592"/>
          </w:tcPr>
          <w:p>
            <w:pPr>
              <w:bidi/>
              <w:spacing w:after="0" w:before="0"/>
            </w:pPr>
            <w:r>
              <w:rPr>
                <w:rFonts w:ascii="Dubai" w:hAnsi="Dubai" w:cs="Dubai"/>
                <w:b w:val="0"/>
                <w:sz w:val="22"/>
                <w:szCs w:val="22"/>
                <w:rtl/>
              </w:rPr>
              <w:t>فريق بحثي من الجامعة الأمريكية في بيروت – مركز نعمة وتريز طعمة للتصلب المتعدد (لبنان).</w:t>
            </w:r>
          </w:p>
        </w:tc>
        <w:tc>
          <w:tcPr>
            <w:tcW w:type="dxa" w:w="7488"/>
          </w:tcPr>
          <w:p>
            <w:pPr>
              <w:spacing w:after="0"/>
            </w:pPr>
            <w:r>
              <w:rPr>
                <w:rFonts w:ascii="Dubai" w:hAnsi="Dubai" w:cs="Dubai"/>
                <w:b w:val="0"/>
                <w:sz w:val="22"/>
                <w:szCs w:val="22"/>
              </w:rPr>
              <w:t>يُعدّ البروتين الغلافي للفيروس القهقري الداخلي المنشأ من النوع W، المعروف اختصاراً بـ pHERV-W ENV، من العوامل المرتبطة بآلية نشوء التصلب المتعدد، غير أنّ فائدته السريرية كمؤشر حيوي لم تكن محددة بوضوح. وقد وجدت الدراسة أنّ هذا البروتين يتركّز على الحويصلات خارج الخلوية (الإكسوسومات) المستخلصة من مصل الدم لدى المصابين بالتصلب المتعدد متكرر الانتكاس والخمود، وأنّه يعكس نشاط المرض الحالي واحتمالات تطوّره مستقبلاً.</w:t>
            </w:r>
          </w:p>
          <w:p>
            <w:pPr>
              <w:spacing w:after="0"/>
            </w:pPr>
            <w:r>
              <w:rPr>
                <w:rFonts w:ascii="Dubai" w:hAnsi="Dubai" w:cs="Dubai"/>
                <w:b w:val="0"/>
                <w:sz w:val="22"/>
                <w:szCs w:val="22"/>
              </w:rPr>
              <w:t>وقاس الفريق البحثي مستويات هذا البروتين لدى ثلاث مجموعات: مجموعة قارنّا فيها أشخاصاً أصحّاء بمرضى مستقرّين وآخرين في طور نشاط المرض؛ ومجموعة جرت متابعتها قبل نوبات النشاط وأثناءها وبعدها؛ ومجموعة من المرضى حديثي التشخيص جرت متابعتهم على مدى ثلاث سنوات.</w:t>
            </w:r>
          </w:p>
          <w:p>
            <w:pPr>
              <w:spacing w:after="0"/>
            </w:pPr>
            <w:r>
              <w:rPr>
                <w:rFonts w:ascii="Dubai" w:hAnsi="Dubai" w:cs="Dubai"/>
                <w:b w:val="0"/>
                <w:sz w:val="22"/>
                <w:szCs w:val="22"/>
              </w:rPr>
              <w:t>ارتفعت المستويات خلال نشاط المرض ثم تراجعت عند المتابعة، وارتبطت بتعبير بروتين LMP2A المشتق من فيروس إبشتاين-بار، وتبيّن أنّ الخلايا الوحيدة والخلايا البائية هي المصدر الأساسي للبروتين في الدورة الدموية. أمّا المرضى الذين سجّلوا مستويات مرتفعة عند خط الأساس فقد شهدوا نشاطاً مرضياً أكبر — انتكاسات سريرية وآفات جديدة أو متوسّعة في التصوير بالرنين المغناطيسي — على مدى ثلاث سنوات، وفقدوا حالة «انعدام الدليل على نشاط المرض» في وقت أبكر.</w:t>
            </w:r>
          </w:p>
          <w:p>
            <w:pPr>
              <w:spacing w:after="0"/>
            </w:pPr>
            <w:r>
              <w:rPr>
                <w:rFonts w:ascii="Dubai" w:hAnsi="Dubai" w:cs="Dubai"/>
                <w:b w:val="0"/>
                <w:sz w:val="22"/>
                <w:szCs w:val="22"/>
              </w:rPr>
              <w:t>وتشير النتائج إلى أنّ هذا البروتين قد يصلح مؤشراً حيوياً ديناميكياً غير جراحي لنشاط التصلب المتعدد، ذا قيمة في التنبؤ بمسار المرض.</w:t>
            </w:r>
          </w:p>
          <w:p>
            <w:pPr>
              <w:spacing w:after="0"/>
            </w:pPr>
            <w:r>
              <w:rPr>
                <w:rFonts w:ascii="Dubai" w:hAnsi="Dubai" w:cs="Dubai"/>
                <w:b w:val="0"/>
                <w:sz w:val="22"/>
                <w:szCs w:val="22"/>
              </w:rPr>
              <w:t>The envelope protein of human endogenous retrovirus type W, pHERV-W ENV, has been implicated in the pathogenesis of multiple sclerosis, but its clinical utility as a biomarker remained incompletely defined. The study found it enriched on serum-derived exosomes in patients with relapsing-remitting MS, where it reflects both current disease activity and future risk.</w:t>
            </w:r>
          </w:p>
          <w:p>
            <w:pPr>
              <w:spacing w:after="0"/>
            </w:pPr>
            <w:r>
              <w:rPr>
                <w:rFonts w:ascii="Dubai" w:hAnsi="Dubai" w:cs="Dubai"/>
                <w:b w:val="0"/>
                <w:sz w:val="22"/>
                <w:szCs w:val="22"/>
              </w:rPr>
              <w:t>The team measured exosomal pHERV-W ENV across three groups: one comparing healthy people with stable and with active disease; one following patients before, during and after episodes of activity; and one tracking newly diagnosed patients over three years.</w:t>
            </w:r>
          </w:p>
          <w:p>
            <w:pPr>
              <w:spacing w:after="0"/>
            </w:pPr>
            <w:r>
              <w:rPr>
                <w:rFonts w:ascii="Dubai" w:hAnsi="Dubai" w:cs="Dubai"/>
                <w:b w:val="0"/>
                <w:sz w:val="22"/>
                <w:szCs w:val="22"/>
              </w:rPr>
              <w:t>Levels rose during active disease and declined at follow-up. They correlated with Epstein-Barr virus LMP2A expression, and monocytes and B cells were the predominant sources of the circulating protein. Patients with high levels at baseline recorded more total disease activity — clinical relapses together with new or enlarging MRI lesions — over three years, and lost "No Evidence of Disease Activity" status sooner.</w:t>
            </w:r>
          </w:p>
          <w:p>
            <w:pPr>
              <w:spacing w:after="0"/>
            </w:pPr>
            <w:r>
              <w:rPr>
                <w:rFonts w:ascii="Dubai" w:hAnsi="Dubai" w:cs="Dubai"/>
                <w:b w:val="0"/>
                <w:sz w:val="22"/>
                <w:szCs w:val="22"/>
              </w:rPr>
              <w:t>The findings suggest that exosomal pHERV-W ENV may serve as a dynamic, non-invasive biomarker of disease activity with prognostic value in multiple sclerosis.</w:t>
            </w:r>
          </w:p>
        </w:tc>
      </w:tr>
      <w:tr>
        <w:tc>
          <w:tcPr>
            <w:tcW w:type="dxa" w:w="648"/>
            <w:vAlign w:val="center"/>
          </w:tcPr>
          <w:p>
            <w:pPr>
              <w:bidi/>
              <w:spacing w:after="0" w:before="0"/>
              <w:jc w:val="center"/>
            </w:pPr>
            <w:r>
              <w:rPr>
                <w:rFonts w:ascii="Dubai" w:hAnsi="Dubai" w:cs="Dubai"/>
                <w:b w:val="0"/>
                <w:sz w:val="22"/>
                <w:szCs w:val="22"/>
                <w:rtl/>
              </w:rPr>
              <w:t>2</w:t>
            </w:r>
          </w:p>
        </w:tc>
        <w:tc>
          <w:tcPr>
            <w:tcW w:type="dxa" w:w="2736"/>
          </w:tcPr>
          <w:p>
            <w:pPr>
              <w:bidi/>
              <w:spacing w:after="0" w:before="0"/>
            </w:pPr>
            <w:r>
              <w:rPr>
                <w:rFonts w:ascii="Dubai" w:hAnsi="Dubai" w:cs="Dubai"/>
                <w:b w:val="0"/>
                <w:sz w:val="22"/>
                <w:szCs w:val="22"/>
                <w:rtl/>
              </w:rPr>
              <w:t>مسودة مرجع البانجينوم العربي المستند إلى بيانات من دولة الإمارات العربية المتحدة.</w:t>
            </w:r>
          </w:p>
        </w:tc>
        <w:tc>
          <w:tcPr>
            <w:tcW w:type="dxa" w:w="2592"/>
          </w:tcPr>
          <w:p>
            <w:pPr>
              <w:bidi/>
              <w:spacing w:after="0" w:before="0"/>
            </w:pPr>
            <w:r>
              <w:rPr>
                <w:rFonts w:ascii="Dubai" w:hAnsi="Dubai" w:cs="Dubai"/>
                <w:b w:val="0"/>
                <w:sz w:val="22"/>
                <w:szCs w:val="22"/>
                <w:rtl/>
              </w:rPr>
              <w:t>فريق بحثي من مركز علم الجينوم التطبيقي والانتقالي – جامعة محمد بن راشد للطب والعلوم الصحية، دبي الصحية.</w:t>
            </w:r>
          </w:p>
        </w:tc>
        <w:tc>
          <w:tcPr>
            <w:tcW w:type="dxa" w:w="7488"/>
          </w:tcPr>
          <w:p>
            <w:pPr>
              <w:spacing w:after="0"/>
            </w:pPr>
            <w:r>
              <w:rPr>
                <w:rFonts w:ascii="Dubai" w:hAnsi="Dubai" w:cs="Dubai"/>
                <w:b w:val="0"/>
                <w:sz w:val="22"/>
                <w:szCs w:val="22"/>
              </w:rPr>
              <w:t>لطالما أغفلت المراجع الجينومية العالمية المعتمدة تمثيل الشعوب العربية. وقد بنت هذه الدراسة أول مرجع جينومي عربي شامل، اعتماداً على تسلسل الحمض النووي عالي الجودة بتقنية القراءات الطويلة لـ53 شخصاً من خلفيات عربية متنوّعة في دولة الإمارات. وأُجريت جميع مراحل البحث داخل مركز علم الجينوم التطبيقي والانتقالي في جامعة محمد بن راشد للطب والعلوم الصحية، ذراع التعلّم والاكتشاف في «دبي الصحية»، بدءاً من التسلسل الجيني ووصولاً إلى تحليلات المعلوماتية الحيوية المتقدمة.</w:t>
            </w:r>
          </w:p>
          <w:p>
            <w:pPr>
              <w:spacing w:after="0"/>
            </w:pPr>
            <w:r>
              <w:rPr>
                <w:rFonts w:ascii="Dubai" w:hAnsi="Dubai" w:cs="Dubai"/>
                <w:b w:val="0"/>
                <w:sz w:val="22"/>
                <w:szCs w:val="22"/>
              </w:rPr>
              <w:t>وكشف المرجع عن أكثر من 110 ملايين زوج قاعدي من تسلسلات الحمض النووي لم تكن موثّقة من قبل، وقرابة تسعة ملايين متغيّر جيني صغير، وأكثر من 235 ألف متغيّر هيكلي كبير خاص بالشعوب العربية لم يسبق تسجيلها. ومن أبرز الاكتشافات الجين المكرّر (TAF11L5) الذي ظهر بكثافة لدى المشاركين العرب بينما لم يُسجّل وجوده في المراجع الجينومية العالمية، والذي قد يؤدي دوراً في تنظيم الجينات الأخرى، بما ينعكس على فهم المخاطر الصحية واستجابة الأفراد للعلاجات.</w:t>
            </w:r>
          </w:p>
          <w:p>
            <w:pPr>
              <w:spacing w:after="0"/>
            </w:pPr>
            <w:r>
              <w:rPr>
                <w:rFonts w:ascii="Dubai" w:hAnsi="Dubai" w:cs="Dubai"/>
                <w:b w:val="0"/>
                <w:sz w:val="22"/>
                <w:szCs w:val="22"/>
              </w:rPr>
              <w:t>كما أنتج المشروع أداة PanScan التي ترصد تكرارات الجينات والتغيّرات الجديدة في الحمض النووي والتراكيب الجينومية المعقّدة، وهي متاحة للباحثين على منصة GitHub. وقد نُشر المرجع في مجلة «نيتشر كوميونيكيشنز»، وهو يمكّن من تطوير المؤشرات الحيوية الخاصة بالسكان ونماذج المخاطر والأهداف العلاجية، ويدعم الاستراتيجية الوطنية للجينوم في دولة الإمارات.</w:t>
            </w:r>
          </w:p>
          <w:p>
            <w:pPr>
              <w:spacing w:after="0"/>
            </w:pPr>
            <w:r>
              <w:rPr>
                <w:rFonts w:ascii="Dubai" w:hAnsi="Dubai" w:cs="Dubai"/>
                <w:b w:val="0"/>
                <w:sz w:val="22"/>
                <w:szCs w:val="22"/>
              </w:rPr>
              <w:t>Global DNA references have historically underrepresented Arab populations. This study built the first Arab Pangenome Reference, from high-quality long-read sequencing of 53 people of diverse Arab backgrounds in the UAE. Every stage, from sequencing to advanced bioinformatics, was completed in-house at the Center for Applied and Translational Genomics at Mohammed Bin Rashid University of Medicine and Health Sciences, Dubai Health.</w:t>
            </w:r>
          </w:p>
          <w:p>
            <w:pPr>
              <w:spacing w:after="0"/>
            </w:pPr>
            <w:r>
              <w:rPr>
                <w:rFonts w:ascii="Dubai" w:hAnsi="Dubai" w:cs="Dubai"/>
                <w:b w:val="0"/>
                <w:sz w:val="22"/>
                <w:szCs w:val="22"/>
              </w:rPr>
              <w:t>The reference uncovered over 110 million base pairs of novel DNA sequence, nearly nine million small differences and more than 235,000 larger structural differences specific to Arab populations, none of them previously reported. One notable discovery was the duplicated gene TAF11L5, highly enriched in the individuals studied but absent from global references; it may play a role in regulating other genes, with implications for disease risk and individual variation in treatment response.</w:t>
            </w:r>
          </w:p>
          <w:p>
            <w:pPr>
              <w:spacing w:after="0"/>
            </w:pPr>
            <w:r>
              <w:rPr>
                <w:rFonts w:ascii="Dubai" w:hAnsi="Dubai" w:cs="Dubai"/>
                <w:b w:val="0"/>
                <w:sz w:val="22"/>
                <w:szCs w:val="22"/>
              </w:rPr>
              <w:t>The project also produced PanScan, a tool that detects gene duplications, novel DNA changes and complex DNA structures, now publicly available on GitHub. Published in Nature Communications, the reference enables population-specific biomarkers, risk models and therapeutic targets, and supports the UAE's National Genome Strategy.</w:t>
            </w:r>
          </w:p>
        </w:tc>
      </w:tr>
    </w:tbl>
    <w:p>
      <w:pPr>
        <w:bidi/>
        <w:spacing w:after="0" w:before="0"/>
      </w:pPr>
    </w:p>
    <w:tbl>
      <w:tblPr>
        <w:tblStyle w:val="TableGrid"/>
        <w:tblW w:type="auto" w:w="0"/>
        <w:jc w:val="center"/>
        <w:tblLayout w:type="fixed"/>
        <w:tblLook w:firstColumn="1" w:firstRow="1" w:lastColumn="0" w:lastRow="0" w:noHBand="0" w:noVBand="1" w:val="04A0"/>
        <w:bidiVisual/>
        <w:tblBorders>
          <w:top w:val="single" w:sz="12" w:space="0" w:color="7F7F7F"/>
          <w:left w:val="single" w:sz="12" w:space="0" w:color="7F7F7F"/>
          <w:bottom w:val="single" w:sz="12" w:space="0" w:color="7F7F7F"/>
          <w:right w:val="single" w:sz="12" w:space="0" w:color="7F7F7F"/>
          <w:insideH w:val="single" w:sz="6" w:space="0" w:color="7F7F7F"/>
          <w:insideV w:val="single" w:sz="6" w:space="0" w:color="7F7F7F"/>
        </w:tblBorders>
      </w:tblPr>
      <w:tblGrid>
        <w:gridCol w:w="2700"/>
        <w:gridCol w:w="2700"/>
        <w:gridCol w:w="2700"/>
        <w:gridCol w:w="2700"/>
      </w:tblGrid>
      <w:tr>
        <w:tc>
          <w:tcPr>
            <w:tcW w:type="dxa" w:w="10800"/>
            <w:gridSpan w:val="4"/>
            <w:shd w:val="clear" w:color="auto" w:fill="3D959D"/>
          </w:tcPr>
          <w:p>
            <w:pPr>
              <w:bidi/>
              <w:spacing w:after="0" w:before="0"/>
              <w:jc w:val="center"/>
            </w:pPr>
            <w:r>
              <w:rPr>
                <w:rFonts w:ascii="Dubai" w:hAnsi="Dubai" w:cs="Dubai"/>
                <w:b/>
                <w:color w:val="FFFFFF"/>
                <w:sz w:val="24"/>
                <w:szCs w:val="24"/>
                <w:bCs/>
                <w:rtl/>
              </w:rPr>
              <w:t>الجائزة العربية في العلوم الوراثية</w:t>
            </w:r>
          </w:p>
        </w:tc>
      </w:tr>
      <w:tr>
        <w:tc>
          <w:tcPr>
            <w:tcW w:type="dxa" w:w="648"/>
            <w:shd w:val="clear" w:color="auto" w:fill="3D959D"/>
          </w:tcPr>
          <w:p>
            <w:pPr>
              <w:bidi/>
              <w:spacing w:after="0" w:before="0"/>
              <w:jc w:val="center"/>
            </w:pPr>
            <w:r>
              <w:rPr>
                <w:rFonts w:ascii="Dubai" w:hAnsi="Dubai" w:cs="Dubai"/>
                <w:b/>
                <w:color w:val="FFFFFF"/>
                <w:sz w:val="22"/>
                <w:szCs w:val="22"/>
                <w:bCs/>
                <w:rtl/>
              </w:rPr>
              <w:t>م</w:t>
            </w:r>
          </w:p>
        </w:tc>
        <w:tc>
          <w:tcPr>
            <w:tcW w:type="dxa" w:w="2736"/>
            <w:shd w:val="clear" w:color="auto" w:fill="3D959D"/>
          </w:tcPr>
          <w:p>
            <w:pPr>
              <w:bidi/>
              <w:spacing w:after="0" w:before="0"/>
              <w:jc w:val="center"/>
            </w:pPr>
            <w:r>
              <w:rPr>
                <w:rFonts w:ascii="Dubai" w:hAnsi="Dubai" w:cs="Dubai"/>
                <w:b/>
                <w:color w:val="FFFFFF"/>
                <w:sz w:val="22"/>
                <w:szCs w:val="22"/>
                <w:bCs/>
                <w:rtl/>
              </w:rPr>
              <w:t>الاسم</w:t>
            </w:r>
          </w:p>
        </w:tc>
        <w:tc>
          <w:tcPr>
            <w:tcW w:type="dxa" w:w="2592"/>
            <w:shd w:val="clear" w:color="auto" w:fill="3D959D"/>
          </w:tcPr>
          <w:p>
            <w:pPr>
              <w:bidi/>
              <w:spacing w:after="0" w:before="0"/>
              <w:jc w:val="center"/>
            </w:pPr>
            <w:r>
              <w:rPr>
                <w:rFonts w:ascii="Dubai" w:hAnsi="Dubai" w:cs="Dubai"/>
                <w:b/>
                <w:color w:val="FFFFFF"/>
                <w:sz w:val="22"/>
                <w:szCs w:val="22"/>
                <w:bCs/>
                <w:rtl/>
              </w:rPr>
              <w:t>الملاحظات</w:t>
            </w:r>
          </w:p>
        </w:tc>
        <w:tc>
          <w:tcPr>
            <w:tcW w:type="dxa" w:w="7488"/>
            <w:shd w:val="clear" w:color="auto" w:fill="3D959D"/>
          </w:tcPr>
          <w:p>
            <w:pPr>
              <w:bidi/>
              <w:spacing w:after="0" w:before="0"/>
              <w:jc w:val="center"/>
            </w:pPr>
            <w:r>
              <w:rPr>
                <w:rFonts w:ascii="Dubai" w:hAnsi="Dubai" w:cs="Dubai"/>
                <w:b/>
                <w:color w:val="FFFFFF"/>
                <w:sz w:val="22"/>
                <w:szCs w:val="22"/>
                <w:bCs/>
                <w:rtl/>
              </w:rPr>
              <w:t>نبذة عن الفائز</w:t>
            </w:r>
          </w:p>
        </w:tc>
      </w:tr>
      <w:tr>
        <w:tc>
          <w:tcPr>
            <w:tcW w:type="dxa" w:w="648"/>
            <w:vAlign w:val="center"/>
          </w:tcPr>
          <w:p>
            <w:pPr>
              <w:bidi/>
              <w:spacing w:after="0" w:before="0"/>
              <w:jc w:val="center"/>
            </w:pPr>
            <w:r>
              <w:rPr>
                <w:rFonts w:ascii="Dubai" w:hAnsi="Dubai" w:cs="Dubai"/>
                <w:b w:val="0"/>
                <w:sz w:val="22"/>
                <w:szCs w:val="22"/>
                <w:rtl/>
              </w:rPr>
              <w:t>1</w:t>
            </w:r>
          </w:p>
        </w:tc>
        <w:tc>
          <w:tcPr>
            <w:tcW w:type="dxa" w:w="2736"/>
          </w:tcPr>
          <w:p>
            <w:pPr>
              <w:bidi/>
              <w:spacing w:after="0" w:before="0"/>
            </w:pPr>
            <w:r>
              <w:rPr>
                <w:rFonts w:ascii="Dubai" w:hAnsi="Dubai" w:cs="Dubai"/>
                <w:b w:val="0"/>
                <w:sz w:val="22"/>
                <w:szCs w:val="22"/>
                <w:rtl/>
              </w:rPr>
              <w:t>الأستاذ الدكتور خالد فخرو</w:t>
            </w:r>
          </w:p>
        </w:tc>
        <w:tc>
          <w:tcPr>
            <w:tcW w:type="dxa" w:w="2592"/>
          </w:tcPr>
          <w:p>
            <w:pPr>
              <w:bidi/>
              <w:spacing w:after="0" w:before="0"/>
            </w:pPr>
            <w:r>
              <w:rPr>
                <w:rFonts w:ascii="Dubai" w:hAnsi="Dubai" w:cs="Dubai"/>
                <w:b w:val="0"/>
                <w:sz w:val="22"/>
                <w:szCs w:val="22"/>
                <w:rtl/>
              </w:rPr>
              <w:t>الرئيس التنفيذي للأبحاث ورئيس برنامج الطب الدقيق في سدرة للطب، وأستاذ علم الجينوم والطب الدقيق بجامعة حمد بن خليفة (قطر).</w:t>
            </w:r>
          </w:p>
        </w:tc>
        <w:tc>
          <w:tcPr>
            <w:tcW w:type="dxa" w:w="7488"/>
          </w:tcPr>
          <w:p>
            <w:pPr>
              <w:spacing w:after="0"/>
            </w:pPr>
            <w:r>
              <w:rPr>
                <w:rFonts w:ascii="Dubai" w:hAnsi="Dubai" w:cs="Dubai"/>
                <w:b w:val="0"/>
                <w:sz w:val="22"/>
                <w:szCs w:val="22"/>
              </w:rPr>
              <w:t>تخرّج الدكتور خالد فخرو عام 2001 في طليعة دفعته على مستوى بلاده، واختار علم الوراثة في وقت كان يُنظر إليه فيه على أنّه تخصّص محدود الآفاق المهنية في دول مجلس التعاون الخليجي. نال درجة البكالوريوس من جامعة شيكاغو، ثم الماجستير والدكتوراه من جامعة ييل بمنح دراسية كاملة، وأتمّ تدريبه في كلية طب وايل كورنيل.</w:t>
            </w:r>
          </w:p>
          <w:p>
            <w:pPr>
              <w:spacing w:after="0"/>
            </w:pPr>
            <w:r>
              <w:rPr>
                <w:rFonts w:ascii="Dubai" w:hAnsi="Dubai" w:cs="Dubai"/>
                <w:b w:val="0"/>
                <w:sz w:val="22"/>
                <w:szCs w:val="22"/>
              </w:rPr>
              <w:t>عاد إلى قطر حيث كانت البنية التحتية للأبحاث الجينومية المحلية — على حدّ وصفه — بدائية. وبفريق صغير تمكّن من إجراء التسلسل الجيني لأكثر من 2000 شخص بحلول أواخر عام 2016. وشملت اكتشافات الفريق تحديد جماعة عربية مؤسِّسة أصيلة تنحدر من أقدم هجرات البشر خارج أفريقيا، وقد تصدّرت غلاف مجلة Genome Research في فبراير 2016، إضافة إلى أول دراسة لأثر الانحياز المرجعي لدى المرضى العرب، التي وجدت أنّ ما يقارب 15 بالمئة مما يُصنَّف «أليلات متغايرة» ينبغي اعتباره مرجعياً لدى القطريين، من بينها نحو 200 صُنِّفت خطأً على أنها مُمرِضة في قاعدة بيانات OMIM.</w:t>
            </w:r>
          </w:p>
          <w:p>
            <w:pPr>
              <w:spacing w:after="0"/>
            </w:pPr>
            <w:r>
              <w:rPr>
                <w:rFonts w:ascii="Dubai" w:hAnsi="Dubai" w:cs="Dubai"/>
                <w:b w:val="0"/>
                <w:sz w:val="22"/>
                <w:szCs w:val="22"/>
              </w:rPr>
              <w:t>وبتعيينه كبيراً للاستشاريين في برنامج قطر جينوم عام 2014، ثم مديراً مؤسِّساً لعلم الوراثة البشرية في سدرة للطب عام 2016، أسّس أول برنامج لتسلسل الجينوم الكامل عند نقطة الرعاية في قطر، وبلغ معدّل التشخيص فيه نحو 60 بالمئة، كما أنشأ أكبر مورد حيوي للتوحّد في المنطقة. وقد أسهمت فرقه بأكثر من 1000 إكسوم وجينوم قطري في النطاق العام، وهي أكبر مساهمة عربية بالجينومات في قاعدة بيانات عامة حتى تاريخه.</w:t>
            </w:r>
          </w:p>
          <w:p>
            <w:pPr>
              <w:spacing w:after="0"/>
            </w:pPr>
            <w:r>
              <w:rPr>
                <w:rFonts w:ascii="Dubai" w:hAnsi="Dubai" w:cs="Dubai"/>
                <w:b w:val="0"/>
                <w:sz w:val="22"/>
                <w:szCs w:val="22"/>
              </w:rPr>
              <w:t>Dr. Khalid A. Fakhro graduated top of his country in 2001 and chose genetics, a discipline then perceived as offering limited career prospects in the GCC. He took his BA at the University of Chicago and his master's and PhD at Yale University on full scholarships, then trained at Weill Cornell Medicine.</w:t>
            </w:r>
          </w:p>
          <w:p>
            <w:pPr>
              <w:spacing w:after="0"/>
            </w:pPr>
            <w:r>
              <w:rPr>
                <w:rFonts w:ascii="Dubai" w:hAnsi="Dubai" w:cs="Dubai"/>
                <w:b w:val="0"/>
                <w:sz w:val="22"/>
                <w:szCs w:val="22"/>
              </w:rPr>
              <w:t>He returned to Qatar, where local genomic research infrastructure was, in his own words, rudimentary. With a small team he had sequenced more than 2,000 individuals by late 2016. Their discoveries included an indigenous founder Arab population descended from the earliest human migrations out of Africa, featured on the February 2016 cover of Genome Research, and the first study of reference bias in Arab patients, which found nearly 15 percent of "variant alleles" should be considered reference in Qataris, around 200 of them mis-labelled as pathogenic in OMIM.</w:t>
            </w:r>
          </w:p>
          <w:p>
            <w:pPr>
              <w:spacing w:after="0"/>
            </w:pPr>
            <w:r>
              <w:rPr>
                <w:rFonts w:ascii="Dubai" w:hAnsi="Dubai" w:cs="Dubai"/>
                <w:b w:val="0"/>
                <w:sz w:val="22"/>
                <w:szCs w:val="22"/>
              </w:rPr>
              <w:t>Appointed lead consultant to the Qatar Genome Program in 2014 and inaugural Director of Human Genetics at Sidra Medicine in 2016, he established Qatar's first point-of-care whole genome sequencing programme, which reached a diagnostic rate of around 60 percent, and the region's largest bio-resource for autism. His teams have contributed more than 1,000 Qatari exomes and genomes to the public domain — the largest Arab genome submission to a public database to date.</w:t>
            </w:r>
          </w:p>
        </w:tc>
      </w:tr>
    </w:tbl>
    <w:p>
      <w:pPr>
        <w:bidi/>
        <w:spacing w:after="0" w:before="0"/>
      </w:pPr>
    </w:p>
    <w:p>
      <w:pPr>
        <w:bidi/>
        <w:spacing w:after="0" w:before="0"/>
        <w:jc w:val="center"/>
        <w:shd w:val="clear" w:color="auto" w:fill="B99664"/>
      </w:pPr>
      <w:r>
        <w:rPr>
          <w:rFonts w:ascii="Dubai" w:hAnsi="Dubai" w:cs="Dubai"/>
          <w:b/>
          <w:color w:val="FFFFFF"/>
          <w:sz w:val="26"/>
          <w:szCs w:val="26"/>
          <w:bCs/>
          <w:rtl/>
        </w:rPr>
        <w:t>ثانياً: جوائز دولة الإمارات العربية المتحدة</w:t>
      </w:r>
    </w:p>
    <w:p>
      <w:pPr>
        <w:bidi/>
        <w:spacing w:after="0" w:before="0"/>
      </w:pPr>
    </w:p>
    <w:tbl>
      <w:tblPr>
        <w:tblStyle w:val="TableGrid"/>
        <w:tblW w:type="auto" w:w="0"/>
        <w:jc w:val="center"/>
        <w:tblLayout w:type="fixed"/>
        <w:tblLook w:firstColumn="1" w:firstRow="1" w:lastColumn="0" w:lastRow="0" w:noHBand="0" w:noVBand="1" w:val="04A0"/>
        <w:bidiVisual/>
        <w:tblBorders>
          <w:top w:val="single" w:sz="12" w:space="0" w:color="7F7F7F"/>
          <w:left w:val="single" w:sz="12" w:space="0" w:color="7F7F7F"/>
          <w:bottom w:val="single" w:sz="12" w:space="0" w:color="7F7F7F"/>
          <w:right w:val="single" w:sz="12" w:space="0" w:color="7F7F7F"/>
          <w:insideH w:val="single" w:sz="6" w:space="0" w:color="7F7F7F"/>
          <w:insideV w:val="single" w:sz="6" w:space="0" w:color="7F7F7F"/>
        </w:tblBorders>
      </w:tblPr>
      <w:tblGrid>
        <w:gridCol w:w="2700"/>
        <w:gridCol w:w="2700"/>
        <w:gridCol w:w="2700"/>
        <w:gridCol w:w="2700"/>
      </w:tblGrid>
      <w:tr>
        <w:tc>
          <w:tcPr>
            <w:tcW w:type="dxa" w:w="10800"/>
            <w:gridSpan w:val="4"/>
            <w:shd w:val="clear" w:color="auto" w:fill="3D959D"/>
          </w:tcPr>
          <w:p>
            <w:pPr>
              <w:bidi/>
              <w:spacing w:after="0" w:before="0"/>
              <w:jc w:val="center"/>
            </w:pPr>
            <w:r>
              <w:rPr>
                <w:rFonts w:ascii="Dubai" w:hAnsi="Dubai" w:cs="Dubai"/>
                <w:b/>
                <w:color w:val="FFFFFF"/>
                <w:sz w:val="24"/>
                <w:szCs w:val="24"/>
                <w:bCs/>
                <w:rtl/>
              </w:rPr>
              <w:t>جائزة أفضل بحث في القطاع الصحي</w:t>
            </w:r>
          </w:p>
        </w:tc>
      </w:tr>
      <w:tr>
        <w:tc>
          <w:tcPr>
            <w:tcW w:type="dxa" w:w="648"/>
            <w:shd w:val="clear" w:color="auto" w:fill="3D959D"/>
          </w:tcPr>
          <w:p>
            <w:pPr>
              <w:bidi/>
              <w:spacing w:after="0" w:before="0"/>
              <w:jc w:val="center"/>
            </w:pPr>
            <w:r>
              <w:rPr>
                <w:rFonts w:ascii="Dubai" w:hAnsi="Dubai" w:cs="Dubai"/>
                <w:b/>
                <w:color w:val="FFFFFF"/>
                <w:sz w:val="22"/>
                <w:szCs w:val="22"/>
                <w:bCs/>
                <w:rtl/>
              </w:rPr>
              <w:t>م</w:t>
            </w:r>
          </w:p>
        </w:tc>
        <w:tc>
          <w:tcPr>
            <w:tcW w:type="dxa" w:w="2736"/>
            <w:shd w:val="clear" w:color="auto" w:fill="3D959D"/>
          </w:tcPr>
          <w:p>
            <w:pPr>
              <w:bidi/>
              <w:spacing w:after="0" w:before="0"/>
              <w:jc w:val="center"/>
            </w:pPr>
            <w:r>
              <w:rPr>
                <w:rFonts w:ascii="Dubai" w:hAnsi="Dubai" w:cs="Dubai"/>
                <w:b/>
                <w:color w:val="FFFFFF"/>
                <w:sz w:val="22"/>
                <w:szCs w:val="22"/>
                <w:bCs/>
                <w:rtl/>
              </w:rPr>
              <w:t>الاسم</w:t>
            </w:r>
          </w:p>
        </w:tc>
        <w:tc>
          <w:tcPr>
            <w:tcW w:type="dxa" w:w="2592"/>
            <w:shd w:val="clear" w:color="auto" w:fill="3D959D"/>
          </w:tcPr>
          <w:p>
            <w:pPr>
              <w:bidi/>
              <w:spacing w:after="0" w:before="0"/>
              <w:jc w:val="center"/>
            </w:pPr>
            <w:r>
              <w:rPr>
                <w:rFonts w:ascii="Dubai" w:hAnsi="Dubai" w:cs="Dubai"/>
                <w:b/>
                <w:color w:val="FFFFFF"/>
                <w:sz w:val="22"/>
                <w:szCs w:val="22"/>
                <w:bCs/>
                <w:rtl/>
              </w:rPr>
              <w:t>الملاحظات</w:t>
            </w:r>
          </w:p>
        </w:tc>
        <w:tc>
          <w:tcPr>
            <w:tcW w:type="dxa" w:w="7488"/>
            <w:shd w:val="clear" w:color="auto" w:fill="3D959D"/>
          </w:tcPr>
          <w:p>
            <w:pPr>
              <w:bidi/>
              <w:spacing w:after="0" w:before="0"/>
              <w:jc w:val="center"/>
            </w:pPr>
            <w:r>
              <w:rPr>
                <w:rFonts w:ascii="Dubai" w:hAnsi="Dubai" w:cs="Dubai"/>
                <w:b/>
                <w:color w:val="FFFFFF"/>
                <w:sz w:val="22"/>
                <w:szCs w:val="22"/>
                <w:bCs/>
                <w:rtl/>
              </w:rPr>
              <w:t>نبذة عن الفائز</w:t>
            </w:r>
          </w:p>
        </w:tc>
      </w:tr>
      <w:tr>
        <w:tc>
          <w:tcPr>
            <w:tcW w:type="dxa" w:w="648"/>
            <w:vAlign w:val="center"/>
          </w:tcPr>
          <w:p>
            <w:pPr>
              <w:bidi/>
              <w:spacing w:after="0" w:before="0"/>
              <w:jc w:val="center"/>
            </w:pPr>
            <w:r>
              <w:rPr>
                <w:rFonts w:ascii="Dubai" w:hAnsi="Dubai" w:cs="Dubai"/>
                <w:b w:val="0"/>
                <w:sz w:val="22"/>
                <w:szCs w:val="22"/>
                <w:rtl/>
              </w:rPr>
              <w:t>1</w:t>
            </w:r>
          </w:p>
        </w:tc>
        <w:tc>
          <w:tcPr>
            <w:tcW w:type="dxa" w:w="2736"/>
          </w:tcPr>
          <w:p>
            <w:pPr>
              <w:bidi/>
              <w:spacing w:after="0" w:before="0"/>
            </w:pPr>
            <w:r>
              <w:rPr>
                <w:rFonts w:ascii="Dubai" w:hAnsi="Dubai" w:cs="Dubai"/>
                <w:b w:val="0"/>
                <w:sz w:val="22"/>
                <w:szCs w:val="22"/>
                <w:rtl/>
              </w:rPr>
              <w:t>تطوير فحص تسلسل بالقراءات الطويلة قائم على أخذ العيّنات التكيّفي للفحص الجيني قبل الزواج.</w:t>
            </w:r>
          </w:p>
        </w:tc>
        <w:tc>
          <w:tcPr>
            <w:tcW w:type="dxa" w:w="2592"/>
          </w:tcPr>
          <w:p>
            <w:pPr>
              <w:bidi/>
              <w:spacing w:after="0" w:before="0"/>
            </w:pPr>
            <w:r>
              <w:rPr>
                <w:rFonts w:ascii="Dubai" w:hAnsi="Dubai" w:cs="Dubai"/>
                <w:b w:val="0"/>
                <w:sz w:val="22"/>
                <w:szCs w:val="22"/>
                <w:rtl/>
              </w:rPr>
            </w:r>
          </w:p>
        </w:tc>
        <w:tc>
          <w:tcPr>
            <w:tcW w:type="dxa" w:w="7488"/>
          </w:tcPr>
          <w:p>
            <w:pPr>
              <w:spacing w:after="0"/>
            </w:pPr>
            <w:r>
              <w:rPr>
                <w:rFonts w:ascii="Dubai" w:hAnsi="Dubai" w:cs="Dubai"/>
                <w:b w:val="0"/>
                <w:sz w:val="22"/>
                <w:szCs w:val="22"/>
              </w:rPr>
            </w:r>
          </w:p>
        </w:tc>
      </w:tr>
      <w:tr>
        <w:tc>
          <w:tcPr>
            <w:tcW w:type="dxa" w:w="648"/>
            <w:vAlign w:val="center"/>
          </w:tcPr>
          <w:p>
            <w:pPr>
              <w:bidi/>
              <w:spacing w:after="0" w:before="0"/>
              <w:jc w:val="center"/>
            </w:pPr>
            <w:r>
              <w:rPr>
                <w:rFonts w:ascii="Dubai" w:hAnsi="Dubai" w:cs="Dubai"/>
                <w:b w:val="0"/>
                <w:sz w:val="22"/>
                <w:szCs w:val="22"/>
                <w:rtl/>
              </w:rPr>
              <w:t>2</w:t>
            </w:r>
          </w:p>
        </w:tc>
        <w:tc>
          <w:tcPr>
            <w:tcW w:type="dxa" w:w="2736"/>
          </w:tcPr>
          <w:p>
            <w:pPr>
              <w:bidi/>
              <w:spacing w:after="0" w:before="0"/>
            </w:pPr>
            <w:r>
              <w:rPr>
                <w:rFonts w:ascii="Dubai" w:hAnsi="Dubai" w:cs="Dubai"/>
                <w:b w:val="0"/>
                <w:sz w:val="22"/>
                <w:szCs w:val="22"/>
                <w:rtl/>
              </w:rPr>
              <w:t>تعلّم عميق قابل للتفسير سريرياً للتنبؤ بإمراضية المتغيّرات المغلوطة في سرطان الثدي.</w:t>
            </w:r>
          </w:p>
        </w:tc>
        <w:tc>
          <w:tcPr>
            <w:tcW w:type="dxa" w:w="2592"/>
          </w:tcPr>
          <w:p>
            <w:pPr>
              <w:bidi/>
              <w:spacing w:after="0" w:before="0"/>
            </w:pPr>
            <w:r>
              <w:rPr>
                <w:rFonts w:ascii="Dubai" w:hAnsi="Dubai" w:cs="Dubai"/>
                <w:b w:val="0"/>
                <w:sz w:val="22"/>
                <w:szCs w:val="22"/>
                <w:rtl/>
              </w:rPr>
            </w:r>
          </w:p>
        </w:tc>
        <w:tc>
          <w:tcPr>
            <w:tcW w:type="dxa" w:w="7488"/>
          </w:tcPr>
          <w:p>
            <w:pPr>
              <w:spacing w:after="0"/>
            </w:pPr>
            <w:r>
              <w:rPr>
                <w:rFonts w:ascii="Dubai" w:hAnsi="Dubai" w:cs="Dubai"/>
                <w:b w:val="0"/>
                <w:sz w:val="22"/>
                <w:szCs w:val="22"/>
              </w:rPr>
            </w:r>
          </w:p>
        </w:tc>
      </w:tr>
      <w:tr>
        <w:tc>
          <w:tcPr>
            <w:tcW w:type="dxa" w:w="648"/>
            <w:vAlign w:val="center"/>
          </w:tcPr>
          <w:p>
            <w:pPr>
              <w:bidi/>
              <w:spacing w:after="0" w:before="0"/>
              <w:jc w:val="center"/>
            </w:pPr>
            <w:r>
              <w:rPr>
                <w:rFonts w:ascii="Dubai" w:hAnsi="Dubai" w:cs="Dubai"/>
                <w:b w:val="0"/>
                <w:sz w:val="22"/>
                <w:szCs w:val="22"/>
                <w:rtl/>
              </w:rPr>
              <w:t>3</w:t>
            </w:r>
          </w:p>
        </w:tc>
        <w:tc>
          <w:tcPr>
            <w:tcW w:type="dxa" w:w="2736"/>
          </w:tcPr>
          <w:p>
            <w:pPr>
              <w:bidi/>
              <w:spacing w:after="0" w:before="0"/>
            </w:pPr>
            <w:r>
              <w:rPr>
                <w:rFonts w:ascii="Dubai" w:hAnsi="Dubai" w:cs="Dubai"/>
                <w:b w:val="0"/>
                <w:sz w:val="22"/>
                <w:szCs w:val="22"/>
                <w:rtl/>
              </w:rPr>
              <w:t>نمذجة متلازمة درافيه وتصميم دواء بالحمض النووي الريبي المرسال يعكس النمط الظاهري الجزيئي في الخلايا العصبية المشتقة من الخلايا الجذعية المحفَّزة.</w:t>
            </w:r>
          </w:p>
        </w:tc>
        <w:tc>
          <w:tcPr>
            <w:tcW w:type="dxa" w:w="2592"/>
          </w:tcPr>
          <w:p>
            <w:pPr>
              <w:bidi/>
              <w:spacing w:after="0" w:before="0"/>
            </w:pPr>
            <w:r>
              <w:rPr>
                <w:rFonts w:ascii="Dubai" w:hAnsi="Dubai" w:cs="Dubai"/>
                <w:b w:val="0"/>
                <w:sz w:val="22"/>
                <w:szCs w:val="22"/>
                <w:rtl/>
              </w:rPr>
            </w:r>
          </w:p>
        </w:tc>
        <w:tc>
          <w:tcPr>
            <w:tcW w:type="dxa" w:w="7488"/>
          </w:tcPr>
          <w:p>
            <w:pPr>
              <w:spacing w:after="0"/>
            </w:pPr>
            <w:r>
              <w:rPr>
                <w:rFonts w:ascii="Dubai" w:hAnsi="Dubai" w:cs="Dubai"/>
                <w:b w:val="0"/>
                <w:sz w:val="22"/>
                <w:szCs w:val="22"/>
              </w:rPr>
            </w:r>
          </w:p>
        </w:tc>
      </w:tr>
    </w:tbl>
    <w:p>
      <w:pPr>
        <w:bidi/>
        <w:spacing w:after="0" w:before="0"/>
      </w:pPr>
    </w:p>
    <w:tbl>
      <w:tblPr>
        <w:tblStyle w:val="TableGrid"/>
        <w:tblW w:type="auto" w:w="0"/>
        <w:jc w:val="center"/>
        <w:tblLayout w:type="fixed"/>
        <w:tblLook w:firstColumn="1" w:firstRow="1" w:lastColumn="0" w:lastRow="0" w:noHBand="0" w:noVBand="1" w:val="04A0"/>
        <w:bidiVisual/>
        <w:tblBorders>
          <w:top w:val="single" w:sz="12" w:space="0" w:color="7F7F7F"/>
          <w:left w:val="single" w:sz="12" w:space="0" w:color="7F7F7F"/>
          <w:bottom w:val="single" w:sz="12" w:space="0" w:color="7F7F7F"/>
          <w:right w:val="single" w:sz="12" w:space="0" w:color="7F7F7F"/>
          <w:insideH w:val="single" w:sz="6" w:space="0" w:color="7F7F7F"/>
          <w:insideV w:val="single" w:sz="6" w:space="0" w:color="7F7F7F"/>
        </w:tblBorders>
      </w:tblPr>
      <w:tblGrid>
        <w:gridCol w:w="2700"/>
        <w:gridCol w:w="2700"/>
        <w:gridCol w:w="2700"/>
        <w:gridCol w:w="2700"/>
      </w:tblGrid>
      <w:tr>
        <w:tc>
          <w:tcPr>
            <w:tcW w:type="dxa" w:w="10800"/>
            <w:gridSpan w:val="4"/>
            <w:shd w:val="clear" w:color="auto" w:fill="3D959D"/>
          </w:tcPr>
          <w:p>
            <w:pPr>
              <w:bidi/>
              <w:spacing w:after="0" w:before="0"/>
              <w:jc w:val="center"/>
            </w:pPr>
            <w:r>
              <w:rPr>
                <w:rFonts w:ascii="Dubai" w:hAnsi="Dubai" w:cs="Dubai"/>
                <w:b/>
                <w:color w:val="FFFFFF"/>
                <w:sz w:val="24"/>
                <w:szCs w:val="24"/>
                <w:bCs/>
                <w:rtl/>
              </w:rPr>
              <w:t>جائزة حمدان للمتميزين في القطاع الصحي</w:t>
            </w:r>
          </w:p>
        </w:tc>
      </w:tr>
      <w:tr>
        <w:tc>
          <w:tcPr>
            <w:tcW w:type="dxa" w:w="648"/>
            <w:shd w:val="clear" w:color="auto" w:fill="3D959D"/>
          </w:tcPr>
          <w:p>
            <w:pPr>
              <w:bidi/>
              <w:spacing w:after="0" w:before="0"/>
              <w:jc w:val="center"/>
            </w:pPr>
            <w:r>
              <w:rPr>
                <w:rFonts w:ascii="Dubai" w:hAnsi="Dubai" w:cs="Dubai"/>
                <w:b/>
                <w:color w:val="FFFFFF"/>
                <w:sz w:val="22"/>
                <w:szCs w:val="22"/>
                <w:bCs/>
                <w:rtl/>
              </w:rPr>
              <w:t>م</w:t>
            </w:r>
          </w:p>
        </w:tc>
        <w:tc>
          <w:tcPr>
            <w:tcW w:type="dxa" w:w="2736"/>
            <w:shd w:val="clear" w:color="auto" w:fill="3D959D"/>
          </w:tcPr>
          <w:p>
            <w:pPr>
              <w:bidi/>
              <w:spacing w:after="0" w:before="0"/>
              <w:jc w:val="center"/>
            </w:pPr>
            <w:r>
              <w:rPr>
                <w:rFonts w:ascii="Dubai" w:hAnsi="Dubai" w:cs="Dubai"/>
                <w:b/>
                <w:color w:val="FFFFFF"/>
                <w:sz w:val="22"/>
                <w:szCs w:val="22"/>
                <w:bCs/>
                <w:rtl/>
              </w:rPr>
              <w:t>الاسم</w:t>
            </w:r>
          </w:p>
        </w:tc>
        <w:tc>
          <w:tcPr>
            <w:tcW w:type="dxa" w:w="2592"/>
            <w:shd w:val="clear" w:color="auto" w:fill="3D959D"/>
          </w:tcPr>
          <w:p>
            <w:pPr>
              <w:bidi/>
              <w:spacing w:after="0" w:before="0"/>
              <w:jc w:val="center"/>
            </w:pPr>
            <w:r>
              <w:rPr>
                <w:rFonts w:ascii="Dubai" w:hAnsi="Dubai" w:cs="Dubai"/>
                <w:b/>
                <w:color w:val="FFFFFF"/>
                <w:sz w:val="22"/>
                <w:szCs w:val="22"/>
                <w:bCs/>
                <w:rtl/>
              </w:rPr>
              <w:t>الملاحظات</w:t>
            </w:r>
          </w:p>
        </w:tc>
        <w:tc>
          <w:tcPr>
            <w:tcW w:type="dxa" w:w="7488"/>
            <w:shd w:val="clear" w:color="auto" w:fill="3D959D"/>
          </w:tcPr>
          <w:p>
            <w:pPr>
              <w:bidi/>
              <w:spacing w:after="0" w:before="0"/>
              <w:jc w:val="center"/>
            </w:pPr>
            <w:r>
              <w:rPr>
                <w:rFonts w:ascii="Dubai" w:hAnsi="Dubai" w:cs="Dubai"/>
                <w:b/>
                <w:color w:val="FFFFFF"/>
                <w:sz w:val="22"/>
                <w:szCs w:val="22"/>
                <w:bCs/>
                <w:rtl/>
              </w:rPr>
              <w:t>نبذة عن الفائز</w:t>
            </w:r>
          </w:p>
        </w:tc>
      </w:tr>
      <w:tr>
        <w:tc>
          <w:tcPr>
            <w:tcW w:type="dxa" w:w="648"/>
            <w:vAlign w:val="center"/>
          </w:tcPr>
          <w:p>
            <w:pPr>
              <w:bidi/>
              <w:spacing w:after="0" w:before="0"/>
              <w:jc w:val="center"/>
            </w:pPr>
            <w:r>
              <w:rPr>
                <w:rFonts w:ascii="Dubai" w:hAnsi="Dubai" w:cs="Dubai"/>
                <w:b w:val="0"/>
                <w:sz w:val="22"/>
                <w:szCs w:val="22"/>
                <w:rtl/>
              </w:rPr>
              <w:t>1</w:t>
            </w:r>
          </w:p>
        </w:tc>
        <w:tc>
          <w:tcPr>
            <w:tcW w:type="dxa" w:w="2736"/>
          </w:tcPr>
          <w:p>
            <w:pPr>
              <w:bidi/>
              <w:spacing w:after="0" w:before="0"/>
            </w:pPr>
            <w:r>
              <w:rPr>
                <w:rFonts w:ascii="Dubai" w:hAnsi="Dubai" w:cs="Dubai"/>
                <w:b w:val="0"/>
                <w:sz w:val="22"/>
                <w:szCs w:val="22"/>
                <w:rtl/>
              </w:rPr>
              <w:t>الدكتور أبوبكر عبدالرحمن شافعي المدني</w:t>
            </w:r>
          </w:p>
        </w:tc>
        <w:tc>
          <w:tcPr>
            <w:tcW w:type="dxa" w:w="2592"/>
          </w:tcPr>
          <w:p>
            <w:pPr>
              <w:bidi/>
              <w:spacing w:after="0" w:before="0"/>
            </w:pPr>
            <w:r>
              <w:rPr>
                <w:rFonts w:ascii="Dubai" w:hAnsi="Dubai" w:cs="Dubai"/>
                <w:b w:val="0"/>
                <w:sz w:val="22"/>
                <w:szCs w:val="22"/>
                <w:rtl/>
              </w:rPr>
              <w:t>استشاري أمراض المخ والأعصاب ورئيس قسم طب الأعصاب بمستشفى راشد، وأستاذ طب الأعصاب بجامعة محمد بن راشد للطب والعلوم الصحية.</w:t>
            </w:r>
          </w:p>
        </w:tc>
        <w:tc>
          <w:tcPr>
            <w:tcW w:type="dxa" w:w="7488"/>
          </w:tcPr>
          <w:p>
            <w:pPr>
              <w:spacing w:after="0"/>
            </w:pPr>
            <w:r>
              <w:rPr>
                <w:rFonts w:ascii="Dubai" w:hAnsi="Dubai" w:cs="Dubai"/>
                <w:b w:val="0"/>
                <w:sz w:val="22"/>
                <w:szCs w:val="22"/>
              </w:rPr>
              <w:t>الدكتور أبوبكر عبدالرحمن شافعي المدني استشاري أمراض المخ والأعصاب ورئيس قسم طب الأعصاب بمستشفى راشد، وأستاذ طب الأعصاب بجامعة محمد بن راشد للطب والعلوم الصحية. وبقيادته للقسم منذ عام 2011، بنى أكبر خدمة لطب الأعصاب في دولة الإمارات العربية المتحدة، تُعنى بأكثر من 20 ألف مريض سنوياً عبر مستشفيات راشد ودبي ولطيفة.</w:t>
            </w:r>
          </w:p>
          <w:p>
            <w:pPr>
              <w:spacing w:after="0"/>
            </w:pPr>
            <w:r>
              <w:rPr>
                <w:rFonts w:ascii="Dubai" w:hAnsi="Dubai" w:cs="Dubai"/>
                <w:b w:val="0"/>
                <w:sz w:val="22"/>
                <w:szCs w:val="22"/>
              </w:rPr>
              <w:t>وتحت قيادته حصل برنامج السكتة الدماغية في القسم على اعتماد الجمعية الألمانية للسكتة الدماغية، ونال المستشفى اعتماده مركزاً للتصلب المتعدد من لجنة الشرق الأوسط وشمال أفريقيا لعلاج وأبحاث التصلب المتعدد، كما جرى تشغيل وحدة طب الأعصاب والسكتة الدماغية بسعة 18 سريراً التي افتُتحت عام 2019. ويحتفظ القسم بسجلات مرضية في التصلب المتعدد والخرف واعتلال الأعصاب والصداع واضطرابات الحركة والصرع، إلى جانب عيادات متخصصة في الطب العصبي العضلي والعلاج بتوكسين البوتولينوم وبرمجة التحفيز العميق للدماغ.</w:t>
            </w:r>
          </w:p>
          <w:p>
            <w:pPr>
              <w:spacing w:after="0"/>
            </w:pPr>
            <w:r>
              <w:rPr>
                <w:rFonts w:ascii="Dubai" w:hAnsi="Dubai" w:cs="Dubai"/>
                <w:b w:val="0"/>
                <w:sz w:val="22"/>
                <w:szCs w:val="22"/>
              </w:rPr>
              <w:t>وقد أسّس خدمة الصداع متعددة التخصصات في «دبي الصحية»، وأوصلها إلى مركزي البرشاء ونَد الحمر للرعاية الصحية الأولية؛ فارتفعت نسبة الإحالة إلى الاختصاصيين من نحو خمسة بالمئة إلى ما يقارب خمسين بالمئة، برضا المرضى بين 80 و90 بالمئة.</w:t>
            </w:r>
          </w:p>
          <w:p>
            <w:pPr>
              <w:spacing w:after="0"/>
            </w:pPr>
            <w:r>
              <w:rPr>
                <w:rFonts w:ascii="Dubai" w:hAnsi="Dubai" w:cs="Dubai"/>
                <w:b w:val="0"/>
                <w:sz w:val="22"/>
                <w:szCs w:val="22"/>
              </w:rPr>
              <w:t>وهو عضو في الهيئة التدريسية الأساسية لبرنامج الإقامة في طب الأعصاب بمستشفى راشد، ونائب رئيس الجمعية الإماراتية لطب الأعصاب، وله أكثر من 40 بحثاً محكّماً، وأسهم في أول إرشادات علاجية وطنية للتصلب المتعدد في دولة الإمارات — المعتمدة اليوم ضمن برنامج «إجادة» بهيئة الصحة بدبي — وفي الإطار الوطني لمرض الزهايمر في الدولة.</w:t>
            </w:r>
          </w:p>
          <w:p>
            <w:pPr>
              <w:spacing w:after="0"/>
            </w:pPr>
            <w:r>
              <w:rPr>
                <w:rFonts w:ascii="Dubai" w:hAnsi="Dubai" w:cs="Dubai"/>
                <w:b w:val="0"/>
                <w:sz w:val="22"/>
                <w:szCs w:val="22"/>
              </w:rPr>
              <w:t>Dr. Abubaker Abdul Rahman Shaffi Al Madani is Consultant Neurologist and Head of the Department of Neurology at Rashid Hospital, and Professor of Neurology at Mohammed Bin Rashid University of Medicine and Health Sciences. Leading that department since 2011, he has built the largest neurology service in the United Arab Emirates, caring for more than 20,000 patients each year across Rashid, Dubai and Latifa Hospitals.</w:t>
            </w:r>
          </w:p>
          <w:p>
            <w:pPr>
              <w:spacing w:after="0"/>
            </w:pPr>
            <w:r>
              <w:rPr>
                <w:rFonts w:ascii="Dubai" w:hAnsi="Dubai" w:cs="Dubai"/>
                <w:b w:val="0"/>
                <w:sz w:val="22"/>
                <w:szCs w:val="22"/>
              </w:rPr>
              <w:t>Under his leadership the department took its stroke programme to German Stroke Society accreditation, gained accreditation as a MENACTRIMS multiple sclerosis centre, and commissioned the 18-bed Neurology and Stroke Unit inaugurated in 2019. It maintains registries in multiple sclerosis, dementia, neuropathy, headache, movement disorders and epilepsy, alongside specialised clinics in neuromuscular medicine, botulinum toxin therapy and deep-brain-stimulation programming.</w:t>
            </w:r>
          </w:p>
          <w:p>
            <w:pPr>
              <w:spacing w:after="0"/>
            </w:pPr>
            <w:r>
              <w:rPr>
                <w:rFonts w:ascii="Dubai" w:hAnsi="Dubai" w:cs="Dubai"/>
                <w:b w:val="0"/>
                <w:sz w:val="22"/>
                <w:szCs w:val="22"/>
              </w:rPr>
              <w:t>He founded Dubai Health's multidisciplinary headache service, extending specialist care to Al Barsha and Nad Al Hamar primary health centres; specialist-referral uptake rose from approximately five percent to nearly fifty, with patient satisfaction of 80 to 90 percent.</w:t>
            </w:r>
          </w:p>
          <w:p>
            <w:pPr>
              <w:spacing w:after="0"/>
            </w:pPr>
            <w:r>
              <w:rPr>
                <w:rFonts w:ascii="Dubai" w:hAnsi="Dubai" w:cs="Dubai"/>
                <w:b w:val="0"/>
                <w:sz w:val="22"/>
                <w:szCs w:val="22"/>
              </w:rPr>
              <w:t>Core faculty of the hospital's neurology residency programme and Vice President of the Emirates Neurology Society, he has authored more than 40 peer-reviewed publications and contributed to the UAE's first national multiple sclerosis treatment guidelines, now in the DHA's Ejadah Programme, and to the UAE Alzheimer's disease national framework.</w:t>
            </w:r>
          </w:p>
        </w:tc>
      </w:tr>
      <w:tr>
        <w:tc>
          <w:tcPr>
            <w:tcW w:type="dxa" w:w="648"/>
            <w:vAlign w:val="center"/>
          </w:tcPr>
          <w:p>
            <w:pPr>
              <w:bidi/>
              <w:spacing w:after="0" w:before="0"/>
              <w:jc w:val="center"/>
            </w:pPr>
            <w:r>
              <w:rPr>
                <w:rFonts w:ascii="Dubai" w:hAnsi="Dubai" w:cs="Dubai"/>
                <w:b w:val="0"/>
                <w:sz w:val="22"/>
                <w:szCs w:val="22"/>
                <w:rtl/>
              </w:rPr>
              <w:t>2</w:t>
            </w:r>
          </w:p>
        </w:tc>
        <w:tc>
          <w:tcPr>
            <w:tcW w:type="dxa" w:w="2736"/>
          </w:tcPr>
          <w:p>
            <w:pPr>
              <w:bidi/>
              <w:spacing w:after="0" w:before="0"/>
            </w:pPr>
            <w:r>
              <w:rPr>
                <w:rFonts w:ascii="Dubai" w:hAnsi="Dubai" w:cs="Dubai"/>
                <w:b w:val="0"/>
                <w:sz w:val="22"/>
                <w:szCs w:val="22"/>
                <w:rtl/>
              </w:rPr>
              <w:t>الأستاذ الدكتور حميد عبيد بن حرمل الشامسي</w:t>
            </w:r>
          </w:p>
        </w:tc>
        <w:tc>
          <w:tcPr>
            <w:tcW w:type="dxa" w:w="2592"/>
          </w:tcPr>
          <w:p>
            <w:pPr>
              <w:bidi/>
              <w:spacing w:after="0" w:before="0"/>
            </w:pPr>
            <w:r>
              <w:rPr>
                <w:rFonts w:ascii="Dubai" w:hAnsi="Dubai" w:cs="Dubai"/>
                <w:b w:val="0"/>
                <w:sz w:val="22"/>
                <w:szCs w:val="22"/>
                <w:rtl/>
              </w:rPr>
              <w:t>الرئيس التنفيذي لمعهد برجيل للأورام، ورئيس جمعية الإمارات للأورام.</w:t>
            </w:r>
          </w:p>
        </w:tc>
        <w:tc>
          <w:tcPr>
            <w:tcW w:type="dxa" w:w="7488"/>
          </w:tcPr>
          <w:p>
            <w:pPr>
              <w:spacing w:after="0"/>
            </w:pPr>
            <w:r>
              <w:rPr>
                <w:rFonts w:ascii="Dubai" w:hAnsi="Dubai" w:cs="Dubai"/>
                <w:b w:val="0"/>
                <w:sz w:val="22"/>
                <w:szCs w:val="22"/>
              </w:rPr>
              <w:t>الأستاذ الدكتور حميد عبيد بن حرمل الشامسي هو الرئيس التنفيذي لمعهد برجيل للأورام ورئيس جمعية الإمارات للأورام، وله أكثر من 20 عاماً من الخبرة استشارياً في الأورام. ومنذ التحاقه بمجموعة برجيل القابضة في سبتمبر 2020 قاد تأسيس أكبر شبكة متكاملة لرعاية مرضى السرطان في دولة الإمارات، بمراكز في أبوظبي والشارقة والعين والرويس، بما قرّب الخدمات التخصصية من منازل المرضى. وهو يقدّم استشارات مجانية لمرضى السرطان غير المؤمَّن عليهم، ويعمل مع الجمعيات الخيرية ليصل الدعم إلى المرضى أينما تلقّوا علاجهم.</w:t>
            </w:r>
          </w:p>
          <w:p>
            <w:pPr>
              <w:spacing w:after="0"/>
            </w:pPr>
            <w:r>
              <w:rPr>
                <w:rFonts w:ascii="Dubai" w:hAnsi="Dubai" w:cs="Dubai"/>
                <w:b w:val="0"/>
                <w:sz w:val="22"/>
                <w:szCs w:val="22"/>
              </w:rPr>
              <w:t>وقد حصل على أول وحيد اعتماد من الجمعية الأوروبية لطب الأورام (ESMO) لمركز سرطان في دولة الإمارات، وأسّس أبرز وحدة متكاملة لزراعة نخاع العظم في الدولة، التي أجرت 160 عملية زراعة، أكثر من 50 منها مجاناً لمرضى دوليين من 20 جنسية، وتحقّق ذلك في ذروة جائحة كوفيد-19 حين كان السفر الدولي مقيّداً.</w:t>
            </w:r>
          </w:p>
          <w:p>
            <w:pPr>
              <w:spacing w:after="0"/>
            </w:pPr>
            <w:r>
              <w:rPr>
                <w:rFonts w:ascii="Dubai" w:hAnsi="Dubai" w:cs="Dubai"/>
                <w:b w:val="0"/>
                <w:sz w:val="22"/>
                <w:szCs w:val="22"/>
              </w:rPr>
              <w:t>وأسهم في التطبيق الوطني لمعايير الرعاية المتقدمة للأورام عام 2024، وفي الدليل الوطني للكشف المبكر عن سرطان الرئة وتشخيصه في الدولة، وفي اللجنة الوطنية متعددة التخصصات لتقييم حالات السرطان المُنشأة بموجب القرار الوزاري رقم (20) لعام 2025. كما أسّس أول برنامج زمالة في أمراض الدم والأورام في تاريخ الدولة، وهو بروفيسور زائر في كلية الطب بجامعة هارفارد. وفي فبراير 2025 نال جائزة برنامج سمو الشيخة فاطمة بنت مبارك للتميز والذكاء المجتمعي في فئة الشخصية المتميزة، وقد سلّمها له صاحب السمو الشيخ محمد بن زايد آل نهيان، رئيس الدولة.</w:t>
            </w:r>
          </w:p>
          <w:p>
            <w:pPr>
              <w:spacing w:after="0"/>
            </w:pPr>
            <w:r>
              <w:rPr>
                <w:rFonts w:ascii="Dubai" w:hAnsi="Dubai" w:cs="Dubai"/>
                <w:b w:val="0"/>
                <w:sz w:val="22"/>
                <w:szCs w:val="22"/>
              </w:rPr>
              <w:t>Professor Humaid Obaid Al-Shamsi is CEO of Burjeel Cancer Institute and President of the Emirates Oncology Society, with more than 20 years of experience as a consultant oncologist. Since joining Burjeel Holdings in September 2020 he has led the establishment of the UAE's largest comprehensive cancer network, with centres in Abu Dhabi, Sharjah, Al Ain and Al Ruwais, bringing specialised services closer to patients' homes. He provides free consultations to uninsured cancer patients and works with charitable organisations so that support reaches patients wherever they are treated.</w:t>
            </w:r>
          </w:p>
          <w:p>
            <w:pPr>
              <w:spacing w:after="0"/>
            </w:pPr>
            <w:r>
              <w:rPr>
                <w:rFonts w:ascii="Dubai" w:hAnsi="Dubai" w:cs="Dubai"/>
                <w:b w:val="0"/>
                <w:sz w:val="22"/>
                <w:szCs w:val="22"/>
              </w:rPr>
              <w:t>He secured the first and only ESMO accreditation for a UAE cancer centre, and established the nation's foremost comprehensive bone marrow transplant unit, which has completed 160 transplants, more than 50 of them free of charge to international patients from 20 nationalities — accomplished during the peak of the COVID-19 pandemic, when international travel was restricted.</w:t>
            </w:r>
          </w:p>
          <w:p>
            <w:pPr>
              <w:spacing w:after="0"/>
            </w:pPr>
            <w:r>
              <w:rPr>
                <w:rFonts w:ascii="Dubai" w:hAnsi="Dubai" w:cs="Dubai"/>
                <w:b w:val="0"/>
                <w:sz w:val="22"/>
                <w:szCs w:val="22"/>
              </w:rPr>
              <w:t>He contributed to the national rollout of advanced oncology care standards in 2024, to the UAE's National Guideline for Lung Cancer Screening and Diagnosis, and to the National Multidisciplinary Committee for Cancer Case Assessment established under Ministerial Decree No. 20 of 2025. He founded the first hematology and oncology fellowship programme in the UAE's history and is Visiting Professor at Harvard Medical School. In February 2025 he received the Sheikha Fatima bint Mubarak Program for Excellence and Community Intelligence Award in the Distinguished Personality category, presented by His Highness Sheikh Mohamed bin Zayed Al Nahyan, President of the UAE.</w:t>
            </w:r>
          </w:p>
        </w:tc>
      </w:tr>
    </w:tbl>
    <w:p>
      <w:pPr>
        <w:bidi/>
        <w:spacing w:after="0" w:before="0"/>
      </w:pPr>
    </w:p>
    <w:tbl>
      <w:tblPr>
        <w:tblStyle w:val="TableGrid"/>
        <w:tblW w:type="auto" w:w="0"/>
        <w:jc w:val="center"/>
        <w:tblLayout w:type="fixed"/>
        <w:tblLook w:firstColumn="1" w:firstRow="1" w:lastColumn="0" w:lastRow="0" w:noHBand="0" w:noVBand="1" w:val="04A0"/>
        <w:bidiVisual/>
        <w:tblBorders>
          <w:top w:val="single" w:sz="12" w:space="0" w:color="7F7F7F"/>
          <w:left w:val="single" w:sz="12" w:space="0" w:color="7F7F7F"/>
          <w:bottom w:val="single" w:sz="12" w:space="0" w:color="7F7F7F"/>
          <w:right w:val="single" w:sz="12" w:space="0" w:color="7F7F7F"/>
          <w:insideH w:val="single" w:sz="6" w:space="0" w:color="7F7F7F"/>
          <w:insideV w:val="single" w:sz="6" w:space="0" w:color="7F7F7F"/>
        </w:tblBorders>
      </w:tblPr>
      <w:tblGrid>
        <w:gridCol w:w="2700"/>
        <w:gridCol w:w="2700"/>
        <w:gridCol w:w="2700"/>
        <w:gridCol w:w="2700"/>
      </w:tblGrid>
      <w:tr>
        <w:tc>
          <w:tcPr>
            <w:tcW w:type="dxa" w:w="10800"/>
            <w:gridSpan w:val="4"/>
            <w:shd w:val="clear" w:color="auto" w:fill="3D959D"/>
          </w:tcPr>
          <w:p>
            <w:pPr>
              <w:bidi/>
              <w:spacing w:after="0" w:before="0"/>
              <w:jc w:val="center"/>
            </w:pPr>
            <w:r>
              <w:rPr>
                <w:rFonts w:ascii="Dubai" w:hAnsi="Dubai" w:cs="Dubai"/>
                <w:b/>
                <w:color w:val="FFFFFF"/>
                <w:sz w:val="24"/>
                <w:szCs w:val="24"/>
                <w:bCs/>
                <w:rtl/>
              </w:rPr>
              <w:t>جائزة الابتكار في القطاع الصحي</w:t>
            </w:r>
          </w:p>
        </w:tc>
      </w:tr>
      <w:tr>
        <w:tc>
          <w:tcPr>
            <w:tcW w:type="dxa" w:w="648"/>
            <w:shd w:val="clear" w:color="auto" w:fill="3D959D"/>
          </w:tcPr>
          <w:p>
            <w:pPr>
              <w:bidi/>
              <w:spacing w:after="0" w:before="0"/>
              <w:jc w:val="center"/>
            </w:pPr>
            <w:r>
              <w:rPr>
                <w:rFonts w:ascii="Dubai" w:hAnsi="Dubai" w:cs="Dubai"/>
                <w:b/>
                <w:color w:val="FFFFFF"/>
                <w:sz w:val="22"/>
                <w:szCs w:val="22"/>
                <w:bCs/>
                <w:rtl/>
              </w:rPr>
              <w:t>م</w:t>
            </w:r>
          </w:p>
        </w:tc>
        <w:tc>
          <w:tcPr>
            <w:tcW w:type="dxa" w:w="2736"/>
            <w:shd w:val="clear" w:color="auto" w:fill="3D959D"/>
          </w:tcPr>
          <w:p>
            <w:pPr>
              <w:bidi/>
              <w:spacing w:after="0" w:before="0"/>
              <w:jc w:val="center"/>
            </w:pPr>
            <w:r>
              <w:rPr>
                <w:rFonts w:ascii="Dubai" w:hAnsi="Dubai" w:cs="Dubai"/>
                <w:b/>
                <w:color w:val="FFFFFF"/>
                <w:sz w:val="22"/>
                <w:szCs w:val="22"/>
                <w:bCs/>
                <w:rtl/>
              </w:rPr>
              <w:t>الاسم</w:t>
            </w:r>
          </w:p>
        </w:tc>
        <w:tc>
          <w:tcPr>
            <w:tcW w:type="dxa" w:w="2592"/>
            <w:shd w:val="clear" w:color="auto" w:fill="3D959D"/>
          </w:tcPr>
          <w:p>
            <w:pPr>
              <w:bidi/>
              <w:spacing w:after="0" w:before="0"/>
              <w:jc w:val="center"/>
            </w:pPr>
            <w:r>
              <w:rPr>
                <w:rFonts w:ascii="Dubai" w:hAnsi="Dubai" w:cs="Dubai"/>
                <w:b/>
                <w:color w:val="FFFFFF"/>
                <w:sz w:val="22"/>
                <w:szCs w:val="22"/>
                <w:bCs/>
                <w:rtl/>
              </w:rPr>
              <w:t>الملاحظات</w:t>
            </w:r>
          </w:p>
        </w:tc>
        <w:tc>
          <w:tcPr>
            <w:tcW w:type="dxa" w:w="7488"/>
            <w:shd w:val="clear" w:color="auto" w:fill="3D959D"/>
          </w:tcPr>
          <w:p>
            <w:pPr>
              <w:bidi/>
              <w:spacing w:after="0" w:before="0"/>
              <w:jc w:val="center"/>
            </w:pPr>
            <w:r>
              <w:rPr>
                <w:rFonts w:ascii="Dubai" w:hAnsi="Dubai" w:cs="Dubai"/>
                <w:b/>
                <w:color w:val="FFFFFF"/>
                <w:sz w:val="22"/>
                <w:szCs w:val="22"/>
                <w:bCs/>
                <w:rtl/>
              </w:rPr>
              <w:t>نبذة عن الفائز</w:t>
            </w:r>
          </w:p>
        </w:tc>
      </w:tr>
      <w:tr>
        <w:tc>
          <w:tcPr>
            <w:tcW w:type="dxa" w:w="648"/>
            <w:vAlign w:val="center"/>
          </w:tcPr>
          <w:p>
            <w:pPr>
              <w:bidi/>
              <w:spacing w:after="0" w:before="0"/>
              <w:jc w:val="center"/>
            </w:pPr>
            <w:r>
              <w:rPr>
                <w:rFonts w:ascii="Dubai" w:hAnsi="Dubai" w:cs="Dubai"/>
                <w:b w:val="0"/>
                <w:sz w:val="22"/>
                <w:szCs w:val="22"/>
                <w:rtl/>
              </w:rPr>
              <w:t>1</w:t>
            </w:r>
          </w:p>
        </w:tc>
        <w:tc>
          <w:tcPr>
            <w:tcW w:type="dxa" w:w="2736"/>
          </w:tcPr>
          <w:p>
            <w:pPr>
              <w:bidi/>
              <w:spacing w:after="0" w:before="0"/>
            </w:pPr>
            <w:r>
              <w:rPr>
                <w:rFonts w:ascii="Dubai" w:hAnsi="Dubai" w:cs="Dubai"/>
                <w:b w:val="0"/>
                <w:sz w:val="22"/>
                <w:szCs w:val="22"/>
                <w:rtl/>
              </w:rPr>
              <w:t>«حياة»: تحويل التبرع بالأعضاء وزراعتها من خلال الابتكار الرقمي.</w:t>
            </w:r>
          </w:p>
        </w:tc>
        <w:tc>
          <w:tcPr>
            <w:tcW w:type="dxa" w:w="2592"/>
          </w:tcPr>
          <w:p>
            <w:pPr>
              <w:bidi/>
              <w:spacing w:after="0" w:before="0"/>
            </w:pPr>
            <w:r>
              <w:rPr>
                <w:rFonts w:ascii="Dubai" w:hAnsi="Dubai" w:cs="Dubai"/>
                <w:b w:val="0"/>
                <w:sz w:val="22"/>
                <w:szCs w:val="22"/>
                <w:rtl/>
              </w:rPr>
              <w:t>مبادرة وطنية على مستوى دولة الإمارات العربية المتحدة.</w:t>
            </w:r>
          </w:p>
        </w:tc>
        <w:tc>
          <w:tcPr>
            <w:tcW w:type="dxa" w:w="7488"/>
          </w:tcPr>
          <w:p>
            <w:pPr>
              <w:spacing w:after="0"/>
            </w:pPr>
            <w:r>
              <w:rPr>
                <w:rFonts w:ascii="Dubai" w:hAnsi="Dubai" w:cs="Dubai"/>
                <w:b w:val="0"/>
                <w:sz w:val="22"/>
                <w:szCs w:val="22"/>
              </w:rPr>
              <w:t>«حياة» مبادرة على مستوى دولة الإمارات العربية المتحدة تُعنى بتكامل منظومة التبرع بالأعضاء وزراعتها، عبر حوكمة منسّقة ومسارات سريرية موحّدة وأنظمة رقمية وتعاون بين مقدّمي الرعاية الصحية والجهات المعنية في مختلف الإمارات. وقد اعتبرت لجنة التحكيم أنّ تطبيق برنامج وطني موحّد عبر مؤسسات تتفاوت في مستوى نضجها الرقمي يمثّل إنجازاً كبيراً.</w:t>
            </w:r>
          </w:p>
          <w:p>
            <w:pPr>
              <w:spacing w:after="0"/>
            </w:pPr>
            <w:r>
              <w:rPr>
                <w:rFonts w:ascii="Dubai" w:hAnsi="Dubai" w:cs="Dubai"/>
                <w:b w:val="0"/>
                <w:sz w:val="22"/>
                <w:szCs w:val="22"/>
              </w:rPr>
              <w:t>ورفع البرنامج معدّل التبرع من المتوفين إلى نحو 14 متبرعاً لكل مليون نسمة، وجمع أكثر من 35 ألف تعهّد بالتبرع. ويستند إلى لوحات بيانات رقمية وتطوير للكوادر وضمان للجودة وتقدّم تنظيمي وتعاون دولي، ويشمل تدخّلات غير مشمولة بالتأمين بما يخدم عدالة الوصول إلى الرعاية.</w:t>
            </w:r>
          </w:p>
          <w:p>
            <w:pPr>
              <w:spacing w:after="0"/>
            </w:pPr>
            <w:r>
              <w:rPr>
                <w:rFonts w:ascii="Dubai" w:hAnsi="Dubai" w:cs="Dubai"/>
                <w:b w:val="0"/>
                <w:sz w:val="22"/>
                <w:szCs w:val="22"/>
              </w:rPr>
              <w:t>وسجّلت اللجنة أهمية «حياة» داخل دولة الإمارات وفي منطقة الشرق الأوسط وشمال أفريقيا، إلى جانب عنايته بالاعتبارات الأخلاقية وبأمن المعلومات في منصّته الرقمية، وإمكانات تطويره مستقبلاً بما في ذلك توظيف الذكاء الاصطناعي لتحسين الكفاءة التشغيلية. وقد نال 98 من 100 في مرحلة المقابلات و94.67 في المرحلة الأولى، وهو أعلى أداء في الجائزة.</w:t>
            </w:r>
          </w:p>
          <w:p>
            <w:pPr>
              <w:spacing w:after="0"/>
            </w:pPr>
            <w:r>
              <w:rPr>
                <w:rFonts w:ascii="Dubai" w:hAnsi="Dubai" w:cs="Dubai"/>
                <w:b w:val="0"/>
                <w:sz w:val="22"/>
                <w:szCs w:val="22"/>
              </w:rPr>
              <w:t>HAYAT is a UAE-wide initiative that integrates organ donation and transplantation through coordinated governance, standardised clinical pathways, digital systems, and collaboration among healthcare providers and authorities across the Emirates. Implementing a unified national programme across organisations at different levels of digital maturity was recognised by the jury as a substantial undertaking.</w:t>
            </w:r>
          </w:p>
          <w:p>
            <w:pPr>
              <w:spacing w:after="0"/>
            </w:pPr>
            <w:r>
              <w:rPr>
                <w:rFonts w:ascii="Dubai" w:hAnsi="Dubai" w:cs="Dubai"/>
                <w:b w:val="0"/>
                <w:sz w:val="22"/>
                <w:szCs w:val="22"/>
              </w:rPr>
              <w:t>The programme has raised the deceased-donor rate to nearly 14 per million population and gathered more than 35,000 donor pledges. It is supported by digital dashboards, workforce development, quality assurance, regulatory progress and international collaboration, and extends to interventions not covered by insurance, in the interest of equitable access.</w:t>
            </w:r>
          </w:p>
          <w:p>
            <w:pPr>
              <w:spacing w:after="0"/>
            </w:pPr>
            <w:r>
              <w:rPr>
                <w:rFonts w:ascii="Dubai" w:hAnsi="Dubai" w:cs="Dubai"/>
                <w:b w:val="0"/>
                <w:sz w:val="22"/>
                <w:szCs w:val="22"/>
              </w:rPr>
              <w:t>The jury recorded HAYAT's significance within the UAE and the wider MENA region, alongside its attention to ethical considerations and to the cybersecurity of its digital platform, and its potential for further development including the use of artificial intelligence to improve operational efficiency. It scored 98 out of 100 at interview stage and 94.67 in the first round, the strongest overall performance in the award.</w:t>
            </w:r>
          </w:p>
        </w:tc>
      </w:tr>
      <w:tr>
        <w:tc>
          <w:tcPr>
            <w:tcW w:type="dxa" w:w="648"/>
            <w:vAlign w:val="center"/>
          </w:tcPr>
          <w:p>
            <w:pPr>
              <w:bidi/>
              <w:spacing w:after="0" w:before="0"/>
              <w:jc w:val="center"/>
            </w:pPr>
            <w:r>
              <w:rPr>
                <w:rFonts w:ascii="Dubai" w:hAnsi="Dubai" w:cs="Dubai"/>
                <w:b w:val="0"/>
                <w:sz w:val="22"/>
                <w:szCs w:val="22"/>
                <w:rtl/>
              </w:rPr>
              <w:t>2</w:t>
            </w:r>
          </w:p>
        </w:tc>
        <w:tc>
          <w:tcPr>
            <w:tcW w:type="dxa" w:w="2736"/>
          </w:tcPr>
          <w:p>
            <w:pPr>
              <w:bidi/>
              <w:spacing w:after="0" w:before="0"/>
            </w:pPr>
            <w:r>
              <w:rPr>
                <w:rFonts w:ascii="Dubai" w:hAnsi="Dubai" w:cs="Dubai"/>
                <w:b w:val="0"/>
                <w:sz w:val="22"/>
                <w:szCs w:val="22"/>
                <w:rtl/>
              </w:rPr>
              <w:t>من الرؤية إلى الواقع: بناء مركز تميّز لعلاج الحروق في دولة الإمارات العربية المتحدة.</w:t>
            </w:r>
          </w:p>
        </w:tc>
        <w:tc>
          <w:tcPr>
            <w:tcW w:type="dxa" w:w="2592"/>
          </w:tcPr>
          <w:p>
            <w:pPr>
              <w:bidi/>
              <w:spacing w:after="0" w:before="0"/>
            </w:pPr>
            <w:r>
              <w:rPr>
                <w:rFonts w:ascii="Dubai" w:hAnsi="Dubai" w:cs="Dubai"/>
                <w:b w:val="0"/>
                <w:sz w:val="22"/>
                <w:szCs w:val="22"/>
                <w:rtl/>
              </w:rPr>
              <w:t>مدينة الشيخ شخبوط الطبية.</w:t>
            </w:r>
          </w:p>
        </w:tc>
        <w:tc>
          <w:tcPr>
            <w:tcW w:type="dxa" w:w="7488"/>
          </w:tcPr>
          <w:p>
            <w:pPr>
              <w:spacing w:after="0"/>
            </w:pPr>
            <w:r>
              <w:rPr>
                <w:rFonts w:ascii="Dubai" w:hAnsi="Dubai" w:cs="Dubai"/>
                <w:b w:val="0"/>
                <w:sz w:val="22"/>
                <w:szCs w:val="22"/>
              </w:rPr>
              <w:t>أنشأ مركز التميّز لعلاج الحروق في مدينة الشيخ شخبوط الطبية رعاية تخصصية منسّقة للحروق في دولة الإمارات العربية المتحدة، عبر مسار متعدد التخصصات يمتد من العلاج الطارئ والعناية المركّزة والجراحة المبكرة والعناية المتقدمة بالجروح، إلى إعادة التأهيل والدعم النفسي والاجتماعي وتنسيق الإحالات والمتابعة.</w:t>
            </w:r>
          </w:p>
          <w:p>
            <w:pPr>
              <w:spacing w:after="0"/>
            </w:pPr>
            <w:r>
              <w:rPr>
                <w:rFonts w:ascii="Dubai" w:hAnsi="Dubai" w:cs="Dubai"/>
                <w:b w:val="0"/>
                <w:sz w:val="22"/>
                <w:szCs w:val="22"/>
              </w:rPr>
              <w:t>وقد ارتفع عدد المرضى في المركز بنحو 40 بالمئة منذ الدورة السابقة للجائزة، وسجّل معدّل وفيات بلغ 1.4 بالمئة في عام 2025 و1.3 بالمئة في الفترة من يناير إلى أغسطس 2026، مع خروج 95 بالمئة من المرضى إلى منازلهم ومستويات رضا مرتفعة عن العلاج وعن رعاية إعادة التأهيل. كما تدعم شراكة مع مؤسسة «معاً» علاج غير المؤمَّن عليهم، بما يوسّع الوصول إلى خدمة يصعب بلوغها لولا ذلك.</w:t>
            </w:r>
          </w:p>
          <w:p>
            <w:pPr>
              <w:spacing w:after="0"/>
            </w:pPr>
            <w:r>
              <w:rPr>
                <w:rFonts w:ascii="Dubai" w:hAnsi="Dubai" w:cs="Dubai"/>
                <w:b w:val="0"/>
                <w:sz w:val="22"/>
                <w:szCs w:val="22"/>
              </w:rPr>
              <w:t>ويعمل المركز على نيل اعتماد الجمعية الأمريكية للحروق المقرر في عام 2027، ويتطلّع إلى أن يكون مركزاً إقليمياً رائداً في علاج الحروق. وقد رأت لجنة التحكيم فيه تحوّلاً عالي القيمة في خدمة صحية، يحمل إمكانات كبيرة لأثر وطني متواصل.</w:t>
            </w:r>
          </w:p>
          <w:p>
            <w:pPr>
              <w:spacing w:after="0"/>
            </w:pPr>
            <w:r>
              <w:rPr>
                <w:rFonts w:ascii="Dubai" w:hAnsi="Dubai" w:cs="Dubai"/>
                <w:b w:val="0"/>
                <w:sz w:val="22"/>
                <w:szCs w:val="22"/>
              </w:rPr>
              <w:t>Sheikh Shakhbout Medical City's Burn Center of Excellence has built coordinated specialist burn care in the United Arab Emirates, along a multidisciplinary pathway spanning emergency treatment, intensive care, early surgery, advanced wound management, rehabilitation, psychosocial support, referral coordination and follow-up.</w:t>
            </w:r>
          </w:p>
          <w:p>
            <w:pPr>
              <w:spacing w:after="0"/>
            </w:pPr>
            <w:r>
              <w:rPr>
                <w:rFonts w:ascii="Dubai" w:hAnsi="Dubai" w:cs="Dubai"/>
                <w:b w:val="0"/>
                <w:sz w:val="22"/>
                <w:szCs w:val="22"/>
              </w:rPr>
              <w:t>The centre has grown patient numbers by approximately 40 percent since the previous award cycle, and reports a mortality rate of 1.4 percent in 2025 and 1.3 percent for January to August 2026, with 95 percent of patients discharged home and high satisfaction with both treatment and rehabilitation care. A partnership with Ma'an supports treatment for people without insurance, widening access to a service that is otherwise difficult to reach.</w:t>
            </w:r>
          </w:p>
          <w:p>
            <w:pPr>
              <w:spacing w:after="0"/>
            </w:pPr>
            <w:r>
              <w:rPr>
                <w:rFonts w:ascii="Dubai" w:hAnsi="Dubai" w:cs="Dubai"/>
                <w:b w:val="0"/>
                <w:sz w:val="22"/>
                <w:szCs w:val="22"/>
              </w:rPr>
              <w:t>The centre is working towards American Burn Association verification, planned for 2027, and aims to become a leading regional centre for burn care. The jury judged it a high-value transformation of a healthcare service, with substantial potential for continued national impact.</w:t>
            </w:r>
          </w:p>
        </w:tc>
      </w:tr>
    </w:tbl>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Dubai" w:hAnsi="Dubai" w:cs="Duba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