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jc w:val="center"/>
      </w:pPr>
      <w:r>
        <w:rPr>
          <w:rFonts w:ascii="Dubai" w:hAnsi="Dubai" w:cs="Dubai"/>
          <w:b/>
          <w:sz w:val="30"/>
          <w:szCs w:val="30"/>
          <w:bCs/>
          <w:rtl/>
        </w:rPr>
        <w:t>كشف الفائزين للجوائز الطبية 2026</w:t>
      </w:r>
    </w:p>
    <w:p>
      <w:pPr>
        <w:bidi/>
        <w:spacing w:after="0" w:before="0"/>
      </w:pPr>
    </w:p>
    <w:p>
      <w:pPr>
        <w:bidi/>
        <w:spacing w:after="0" w:before="0"/>
        <w:jc w:val="center"/>
        <w:shd w:val="clear" w:color="auto" w:fill="B99664"/>
      </w:pPr>
      <w:r>
        <w:rPr>
          <w:rFonts w:ascii="Dubai" w:hAnsi="Dubai" w:cs="Dubai"/>
          <w:b/>
          <w:color w:val="FFFFFF"/>
          <w:sz w:val="26"/>
          <w:szCs w:val="26"/>
          <w:bCs/>
          <w:rtl/>
        </w:rPr>
        <w:t>أولاً: جوائز العالم العربي</w:t>
      </w:r>
    </w:p>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الجائزة العربية للأبحاث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بروتين pHERV-W ENV في الحويصلات خارج الخلوية كمؤشر حيوي ديناميكي للتنبؤ بالانتكاسات وتقييم مآل مرض التصلب المتعدد.</w:t>
            </w:r>
          </w:p>
        </w:tc>
        <w:tc>
          <w:tcPr>
            <w:tcW w:type="dxa" w:w="2592"/>
          </w:tcPr>
          <w:p>
            <w:pPr>
              <w:bidi/>
              <w:spacing w:after="0" w:before="0"/>
            </w:pPr>
            <w:r>
              <w:rPr>
                <w:rFonts w:ascii="Dubai" w:hAnsi="Dubai" w:cs="Dubai"/>
                <w:b w:val="0"/>
                <w:sz w:val="22"/>
                <w:szCs w:val="22"/>
                <w:rtl/>
              </w:rPr>
              <w:t>فريق بحثي من الجامعة الأمريكية في بيروت – مركز نعمة وتريز طعمة للتصلب المتعدد (لبنان).</w:t>
            </w:r>
          </w:p>
        </w:tc>
        <w:tc>
          <w:tcPr>
            <w:tcW w:type="dxa" w:w="7488"/>
          </w:tcPr>
          <w:p>
            <w:pPr>
              <w:spacing w:after="0"/>
            </w:pPr>
            <w:r>
              <w:rPr>
                <w:rFonts w:ascii="Dubai" w:hAnsi="Dubai" w:cs="Dubai"/>
                <w:b w:val="0"/>
                <w:sz w:val="22"/>
                <w:szCs w:val="22"/>
              </w:rPr>
              <w:t>The envelope protein of human endogenous retrovirus type W, pHERV-W ENV, has been implicated in the pathogenesis of multiple sclerosis, but its clinical utility as a biomarker remained incompletely defined. The study found it enriched on serum-derived exosomes in patients with relapsing-remitting MS, where it reflects both current disease activity and future risk.</w:t>
            </w:r>
          </w:p>
          <w:p>
            <w:pPr>
              <w:spacing w:after="0"/>
            </w:pPr>
            <w:r>
              <w:rPr>
                <w:rFonts w:ascii="Dubai" w:hAnsi="Dubai" w:cs="Dubai"/>
                <w:b w:val="0"/>
                <w:sz w:val="22"/>
                <w:szCs w:val="22"/>
              </w:rPr>
              <w:t>The team measured exosomal pHERV-W ENV across three groups: one comparing healthy people with stable and with active disease; one following patients before, during and after episodes of activity; and one tracking newly diagnosed patients over three years.</w:t>
            </w:r>
          </w:p>
          <w:p>
            <w:pPr>
              <w:spacing w:after="0"/>
            </w:pPr>
            <w:r>
              <w:rPr>
                <w:rFonts w:ascii="Dubai" w:hAnsi="Dubai" w:cs="Dubai"/>
                <w:b w:val="0"/>
                <w:sz w:val="22"/>
                <w:szCs w:val="22"/>
              </w:rPr>
              <w:t>Levels rose during active disease and declined at follow-up. They correlated with Epstein-Barr virus LMP2A expression, and monocytes and B cells were the predominant sources of the circulating protein. Patients with high levels at baseline recorded more total disease activity — clinical relapses together with new or enlarging MRI lesions — over three years, and lost "No Evidence of Disease Activity" status sooner.</w:t>
            </w:r>
          </w:p>
          <w:p>
            <w:pPr>
              <w:spacing w:after="0"/>
            </w:pPr>
            <w:r>
              <w:rPr>
                <w:rFonts w:ascii="Dubai" w:hAnsi="Dubai" w:cs="Dubai"/>
                <w:b w:val="0"/>
                <w:sz w:val="22"/>
                <w:szCs w:val="22"/>
              </w:rPr>
              <w:t>The findings suggest that exosomal pHERV-W ENV may serve as a dynamic, non-invasive biomarker of disease activity with prognostic value in multiple sclerosis.</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مسودة مرجع البانجينوم العربي المستند إلى بيانات من دولة الإمارات العربية المتحدة.</w:t>
            </w:r>
          </w:p>
        </w:tc>
        <w:tc>
          <w:tcPr>
            <w:tcW w:type="dxa" w:w="2592"/>
          </w:tcPr>
          <w:p>
            <w:pPr>
              <w:bidi/>
              <w:spacing w:after="0" w:before="0"/>
            </w:pPr>
            <w:r>
              <w:rPr>
                <w:rFonts w:ascii="Dubai" w:hAnsi="Dubai" w:cs="Dubai"/>
                <w:b w:val="0"/>
                <w:sz w:val="22"/>
                <w:szCs w:val="22"/>
                <w:rtl/>
              </w:rPr>
              <w:t>فريق بحثي من مركز علم الجينوم التطبيقي والانتقالي – جامعة محمد بن راشد للطب والعلوم الصحية، دبي الصحية.</w:t>
            </w:r>
          </w:p>
        </w:tc>
        <w:tc>
          <w:tcPr>
            <w:tcW w:type="dxa" w:w="7488"/>
          </w:tcPr>
          <w:p>
            <w:pPr>
              <w:spacing w:after="0"/>
            </w:pPr>
            <w:r>
              <w:rPr>
                <w:rFonts w:ascii="Dubai" w:hAnsi="Dubai" w:cs="Dubai"/>
                <w:b w:val="0"/>
                <w:sz w:val="22"/>
                <w:szCs w:val="22"/>
              </w:rPr>
              <w:t>Global DNA references have historically underrepresented Arab populations. This study built the first Arab Pangenome Reference, from high-quality long-read sequencing of 53 people of diverse Arab backgrounds in the UAE. Every stage, from sequencing to advanced bioinformatics, was completed in-house at the Center for Applied and Translational Genomics at Mohammed Bin Rashid University of Medicine and Health Sciences, Dubai Health.</w:t>
            </w:r>
          </w:p>
          <w:p>
            <w:pPr>
              <w:spacing w:after="0"/>
            </w:pPr>
            <w:r>
              <w:rPr>
                <w:rFonts w:ascii="Dubai" w:hAnsi="Dubai" w:cs="Dubai"/>
                <w:b w:val="0"/>
                <w:sz w:val="22"/>
                <w:szCs w:val="22"/>
              </w:rPr>
              <w:t>The reference uncovered over 110 million base pairs of novel DNA sequence, nearly nine million small differences and more than 235,000 larger structural differences specific to Arab populations, none of them previously reported. One notable discovery was the duplicated gene TAF11L5, highly enriched in the individuals studied but absent from global references; it may play a role in regulating other genes, with implications for disease risk and individual variation in treatment response.</w:t>
            </w:r>
          </w:p>
          <w:p>
            <w:pPr>
              <w:spacing w:after="0"/>
            </w:pPr>
            <w:r>
              <w:rPr>
                <w:rFonts w:ascii="Dubai" w:hAnsi="Dubai" w:cs="Dubai"/>
                <w:b w:val="0"/>
                <w:sz w:val="22"/>
                <w:szCs w:val="22"/>
              </w:rPr>
              <w:t>The project also produced PanScan, a tool that detects gene duplications, novel DNA changes and complex DNA structures, now publicly available on GitHub. Published in Nature Communications, the reference enables population-specific biomarkers, risk models and therapeutic targets, and supports the UAE's National Genome Strategy.</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الجائزة العربية في العلوم الوراثية</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الأستاذ الدكتور خالد فخرو</w:t>
            </w:r>
          </w:p>
        </w:tc>
        <w:tc>
          <w:tcPr>
            <w:tcW w:type="dxa" w:w="2592"/>
          </w:tcPr>
          <w:p>
            <w:pPr>
              <w:bidi/>
              <w:spacing w:after="0" w:before="0"/>
            </w:pPr>
            <w:r>
              <w:rPr>
                <w:rFonts w:ascii="Dubai" w:hAnsi="Dubai" w:cs="Dubai"/>
                <w:b w:val="0"/>
                <w:sz w:val="22"/>
                <w:szCs w:val="22"/>
                <w:rtl/>
              </w:rPr>
              <w:t>الرئيس التنفيذي للأبحاث ورئيس برنامج الطب الدقيق في سدرة للطب، وأستاذ علم الجينوم والطب الدقيق بجامعة حمد بن خليفة (قطر).</w:t>
            </w:r>
          </w:p>
        </w:tc>
        <w:tc>
          <w:tcPr>
            <w:tcW w:type="dxa" w:w="7488"/>
          </w:tcPr>
          <w:p>
            <w:pPr>
              <w:spacing w:after="0"/>
            </w:pPr>
            <w:r>
              <w:rPr>
                <w:rFonts w:ascii="Dubai" w:hAnsi="Dubai" w:cs="Dubai"/>
                <w:b w:val="0"/>
                <w:sz w:val="22"/>
                <w:szCs w:val="22"/>
              </w:rPr>
              <w:t>Dr. Khalid A. Fakhro graduated top of his country in 2001 and chose genetics, a discipline then perceived as offering limited career prospects in the GCC. He took his BA at the University of Chicago and his master's and PhD at Yale University on full scholarships, then trained at Weill Cornell Medicine.</w:t>
            </w:r>
          </w:p>
          <w:p>
            <w:pPr>
              <w:spacing w:after="0"/>
            </w:pPr>
            <w:r>
              <w:rPr>
                <w:rFonts w:ascii="Dubai" w:hAnsi="Dubai" w:cs="Dubai"/>
                <w:b w:val="0"/>
                <w:sz w:val="22"/>
                <w:szCs w:val="22"/>
              </w:rPr>
              <w:t>He returned to Qatar, where local genomic research infrastructure was, in his own words, rudimentary. With a small team he had sequenced more than 2,000 individuals by late 2016. Their discoveries included an indigenous founder Arab population descended from the earliest human migrations out of Africa, featured on the February 2016 cover of Genome Research, and the first study of reference bias in Arab patients, which found nearly 15 percent of "variant alleles" should be considered reference in Qataris, around 200 of them mis-labelled as pathogenic in OMIM.</w:t>
            </w:r>
          </w:p>
          <w:p>
            <w:pPr>
              <w:spacing w:after="0"/>
            </w:pPr>
            <w:r>
              <w:rPr>
                <w:rFonts w:ascii="Dubai" w:hAnsi="Dubai" w:cs="Dubai"/>
                <w:b w:val="0"/>
                <w:sz w:val="22"/>
                <w:szCs w:val="22"/>
              </w:rPr>
              <w:t>Appointed lead consultant to the Qatar Genome Program in 2014 and inaugural Director of Human Genetics at Sidra Medicine in 2016, he established Qatar's first point-of-care whole genome sequencing programme, which reached a diagnostic rate of around 60 percent, and the region's largest bio-resource for autism. His teams have contributed more than 1,000 Qatari exomes and genomes to the public domain — the largest Arab genome submission to a public database to date.</w:t>
            </w:r>
          </w:p>
        </w:tc>
      </w:tr>
    </w:tbl>
    <w:p>
      <w:pPr>
        <w:bidi/>
        <w:spacing w:after="0" w:before="0"/>
      </w:pPr>
    </w:p>
    <w:p>
      <w:pPr>
        <w:bidi/>
        <w:spacing w:after="0" w:before="0"/>
        <w:jc w:val="center"/>
        <w:shd w:val="clear" w:color="auto" w:fill="B99664"/>
      </w:pPr>
      <w:r>
        <w:rPr>
          <w:rFonts w:ascii="Dubai" w:hAnsi="Dubai" w:cs="Dubai"/>
          <w:b/>
          <w:color w:val="FFFFFF"/>
          <w:sz w:val="26"/>
          <w:szCs w:val="26"/>
          <w:bCs/>
          <w:rtl/>
        </w:rPr>
        <w:t>ثانياً: جوائز دولة الإمارات العربية المتحدة</w:t>
      </w:r>
    </w:p>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أفضل بحث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تطوير فحص تسلسل بالقراءات الطويلة قائم على أخذ العيّنات التكيّفي للفحص الجيني قبل الزواج.</w:t>
            </w:r>
          </w:p>
        </w:tc>
        <w:tc>
          <w:tcPr>
            <w:tcW w:type="dxa" w:w="2592"/>
          </w:tcPr>
          <w:p>
            <w:pPr>
              <w:bidi/>
              <w:spacing w:after="0" w:before="0"/>
            </w:pPr>
            <w:r>
              <w:rPr>
                <w:rFonts w:ascii="Dubai" w:hAnsi="Dubai" w:cs="Dubai"/>
                <w:b w:val="0"/>
                <w:sz w:val="22"/>
                <w:szCs w:val="22"/>
                <w:rtl/>
              </w:rPr>
            </w:r>
          </w:p>
        </w:tc>
        <w:tc>
          <w:tcPr>
            <w:tcW w:type="dxa" w:w="7488"/>
          </w:tcPr>
          <w:p>
            <w:pPr>
              <w:spacing w:after="0"/>
            </w:pPr>
            <w:r>
              <w:rPr>
                <w:rFonts w:ascii="Dubai" w:hAnsi="Dubai" w:cs="Dubai"/>
                <w:b w:val="0"/>
                <w:sz w:val="22"/>
                <w:szCs w:val="22"/>
              </w:rPr>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تعلّم عميق قابل للتفسير سريرياً للتنبؤ بإمراضية المتغيّرات المغلوطة في سرطان الثدي.</w:t>
            </w:r>
          </w:p>
        </w:tc>
        <w:tc>
          <w:tcPr>
            <w:tcW w:type="dxa" w:w="2592"/>
          </w:tcPr>
          <w:p>
            <w:pPr>
              <w:bidi/>
              <w:spacing w:after="0" w:before="0"/>
            </w:pPr>
            <w:r>
              <w:rPr>
                <w:rFonts w:ascii="Dubai" w:hAnsi="Dubai" w:cs="Dubai"/>
                <w:b w:val="0"/>
                <w:sz w:val="22"/>
                <w:szCs w:val="22"/>
                <w:rtl/>
              </w:rPr>
            </w:r>
          </w:p>
        </w:tc>
        <w:tc>
          <w:tcPr>
            <w:tcW w:type="dxa" w:w="7488"/>
          </w:tcPr>
          <w:p>
            <w:pPr>
              <w:spacing w:after="0"/>
            </w:pPr>
            <w:r>
              <w:rPr>
                <w:rFonts w:ascii="Dubai" w:hAnsi="Dubai" w:cs="Dubai"/>
                <w:b w:val="0"/>
                <w:sz w:val="22"/>
                <w:szCs w:val="22"/>
              </w:rPr>
            </w:r>
          </w:p>
        </w:tc>
      </w:tr>
      <w:tr>
        <w:tc>
          <w:tcPr>
            <w:tcW w:type="dxa" w:w="648"/>
            <w:vAlign w:val="center"/>
          </w:tcPr>
          <w:p>
            <w:pPr>
              <w:bidi/>
              <w:spacing w:after="0" w:before="0"/>
              <w:jc w:val="center"/>
            </w:pPr>
            <w:r>
              <w:rPr>
                <w:rFonts w:ascii="Dubai" w:hAnsi="Dubai" w:cs="Dubai"/>
                <w:b w:val="0"/>
                <w:sz w:val="22"/>
                <w:szCs w:val="22"/>
                <w:rtl/>
              </w:rPr>
              <w:t>3</w:t>
            </w:r>
          </w:p>
        </w:tc>
        <w:tc>
          <w:tcPr>
            <w:tcW w:type="dxa" w:w="2736"/>
          </w:tcPr>
          <w:p>
            <w:pPr>
              <w:bidi/>
              <w:spacing w:after="0" w:before="0"/>
            </w:pPr>
            <w:r>
              <w:rPr>
                <w:rFonts w:ascii="Dubai" w:hAnsi="Dubai" w:cs="Dubai"/>
                <w:b w:val="0"/>
                <w:sz w:val="22"/>
                <w:szCs w:val="22"/>
                <w:rtl/>
              </w:rPr>
              <w:t>نمذجة متلازمة درافيه وتصميم دواء بالحمض النووي الريبي المرسال يعكس النمط الظاهري الجزيئي في الخلايا العصبية المشتقة من الخلايا الجذعية المحفَّزة.</w:t>
            </w:r>
          </w:p>
        </w:tc>
        <w:tc>
          <w:tcPr>
            <w:tcW w:type="dxa" w:w="2592"/>
          </w:tcPr>
          <w:p>
            <w:pPr>
              <w:bidi/>
              <w:spacing w:after="0" w:before="0"/>
            </w:pPr>
            <w:r>
              <w:rPr>
                <w:rFonts w:ascii="Dubai" w:hAnsi="Dubai" w:cs="Dubai"/>
                <w:b w:val="0"/>
                <w:sz w:val="22"/>
                <w:szCs w:val="22"/>
                <w:rtl/>
              </w:rPr>
            </w:r>
          </w:p>
        </w:tc>
        <w:tc>
          <w:tcPr>
            <w:tcW w:type="dxa" w:w="7488"/>
          </w:tcPr>
          <w:p>
            <w:pPr>
              <w:spacing w:after="0"/>
            </w:pPr>
            <w:r>
              <w:rPr>
                <w:rFonts w:ascii="Dubai" w:hAnsi="Dubai" w:cs="Dubai"/>
                <w:b w:val="0"/>
                <w:sz w:val="22"/>
                <w:szCs w:val="22"/>
              </w:rPr>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حمدان للمتميزين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الدكتور أبوبكر عبدالرحمن شافعي المدني</w:t>
            </w:r>
          </w:p>
        </w:tc>
        <w:tc>
          <w:tcPr>
            <w:tcW w:type="dxa" w:w="2592"/>
          </w:tcPr>
          <w:p>
            <w:pPr>
              <w:bidi/>
              <w:spacing w:after="0" w:before="0"/>
            </w:pPr>
            <w:r>
              <w:rPr>
                <w:rFonts w:ascii="Dubai" w:hAnsi="Dubai" w:cs="Dubai"/>
                <w:b w:val="0"/>
                <w:sz w:val="22"/>
                <w:szCs w:val="22"/>
                <w:rtl/>
              </w:rPr>
              <w:t>استشاري أمراض المخ والأعصاب ورئيس قسم طب الأعصاب بمستشفى راشد، وأستاذ طب الأعصاب بجامعة محمد بن راشد للطب والعلوم الصحية.</w:t>
            </w:r>
          </w:p>
        </w:tc>
        <w:tc>
          <w:tcPr>
            <w:tcW w:type="dxa" w:w="7488"/>
          </w:tcPr>
          <w:p>
            <w:pPr>
              <w:spacing w:after="0"/>
            </w:pPr>
            <w:r>
              <w:rPr>
                <w:rFonts w:ascii="Dubai" w:hAnsi="Dubai" w:cs="Dubai"/>
                <w:b w:val="0"/>
                <w:sz w:val="22"/>
                <w:szCs w:val="22"/>
              </w:rPr>
              <w:t>Dr. Abubaker Abdul Rahman Shaffi Al Madani is Consultant Neurologist and Head of the Department of Neurology at Rashid Hospital, and Professor of Neurology at Mohammed Bin Rashid University of Medicine and Health Sciences. Leading that department since 2011, he has built the largest neurology service in the United Arab Emirates, caring for more than 20,000 patients each year across Rashid, Dubai and Latifa Hospitals.</w:t>
            </w:r>
          </w:p>
          <w:p>
            <w:pPr>
              <w:spacing w:after="0"/>
            </w:pPr>
            <w:r>
              <w:rPr>
                <w:rFonts w:ascii="Dubai" w:hAnsi="Dubai" w:cs="Dubai"/>
                <w:b w:val="0"/>
                <w:sz w:val="22"/>
                <w:szCs w:val="22"/>
              </w:rPr>
              <w:t>Under his leadership the department took its stroke programme to German Stroke Society accreditation, gained accreditation as a MENACTRIMS multiple sclerosis centre, and commissioned the 18-bed Neurology and Stroke Unit inaugurated in 2019. It maintains registries in multiple sclerosis, dementia, neuropathy, headache, movement disorders and epilepsy, alongside specialised clinics in neuromuscular medicine, botulinum toxin therapy and deep-brain-stimulation programming.</w:t>
            </w:r>
          </w:p>
          <w:p>
            <w:pPr>
              <w:spacing w:after="0"/>
            </w:pPr>
            <w:r>
              <w:rPr>
                <w:rFonts w:ascii="Dubai" w:hAnsi="Dubai" w:cs="Dubai"/>
                <w:b w:val="0"/>
                <w:sz w:val="22"/>
                <w:szCs w:val="22"/>
              </w:rPr>
              <w:t>He founded Dubai Health's multidisciplinary headache service, extending specialist care to Al Barsha and Nad Al Hamar primary health centres; specialist-referral uptake rose from approximately five percent to nearly fifty, with patient satisfaction of 80 to 90 percent.</w:t>
            </w:r>
          </w:p>
          <w:p>
            <w:pPr>
              <w:spacing w:after="0"/>
            </w:pPr>
            <w:r>
              <w:rPr>
                <w:rFonts w:ascii="Dubai" w:hAnsi="Dubai" w:cs="Dubai"/>
                <w:b w:val="0"/>
                <w:sz w:val="22"/>
                <w:szCs w:val="22"/>
              </w:rPr>
              <w:t>Core faculty of the hospital's neurology residency programme and Vice President of the Emirates Neurology Society, he has authored more than 40 peer-reviewed publications and contributed to the UAE's first national multiple sclerosis treatment guidelines, now in the DHA's Ejadah Programme, and to the UAE Alzheimer's disease national framework.</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الأستاذ الدكتور حميد عبيد بن حرمل الشامسي</w:t>
            </w:r>
          </w:p>
        </w:tc>
        <w:tc>
          <w:tcPr>
            <w:tcW w:type="dxa" w:w="2592"/>
          </w:tcPr>
          <w:p>
            <w:pPr>
              <w:bidi/>
              <w:spacing w:after="0" w:before="0"/>
            </w:pPr>
            <w:r>
              <w:rPr>
                <w:rFonts w:ascii="Dubai" w:hAnsi="Dubai" w:cs="Dubai"/>
                <w:b w:val="0"/>
                <w:sz w:val="22"/>
                <w:szCs w:val="22"/>
                <w:rtl/>
              </w:rPr>
              <w:t>الرئيس التنفيذي لمعهد برجيل للأورام، ورئيس جمعية الإمارات للأورام.</w:t>
            </w:r>
          </w:p>
        </w:tc>
        <w:tc>
          <w:tcPr>
            <w:tcW w:type="dxa" w:w="7488"/>
          </w:tcPr>
          <w:p>
            <w:pPr>
              <w:spacing w:after="0"/>
            </w:pPr>
            <w:r>
              <w:rPr>
                <w:rFonts w:ascii="Dubai" w:hAnsi="Dubai" w:cs="Dubai"/>
                <w:b w:val="0"/>
                <w:sz w:val="22"/>
                <w:szCs w:val="22"/>
              </w:rPr>
              <w:t>Professor Humaid Obaid Al-Shamsi is CEO of Burjeel Cancer Institute and President of the Emirates Oncology Society, with more than 20 years of experience as a consultant oncologist. Since joining Burjeel Holdings in September 2020 he has led the establishment of the UAE's largest comprehensive cancer network, with centres in Abu Dhabi, Sharjah, Al Ain and Al Ruwais, bringing specialised services closer to patients' homes. He provides free consultations to uninsured cancer patients and works with charitable organisations so that support reaches patients wherever they are treated.</w:t>
            </w:r>
          </w:p>
          <w:p>
            <w:pPr>
              <w:spacing w:after="0"/>
            </w:pPr>
            <w:r>
              <w:rPr>
                <w:rFonts w:ascii="Dubai" w:hAnsi="Dubai" w:cs="Dubai"/>
                <w:b w:val="0"/>
                <w:sz w:val="22"/>
                <w:szCs w:val="22"/>
              </w:rPr>
              <w:t>He secured the first and only ESMO accreditation for a UAE cancer centre, and established the nation's foremost comprehensive bone marrow transplant unit, which has completed 160 transplants, more than 50 of them free of charge to international patients from 20 nationalities — accomplished during the peak of the COVID-19 pandemic, when international travel was restricted.</w:t>
            </w:r>
          </w:p>
          <w:p>
            <w:pPr>
              <w:spacing w:after="0"/>
            </w:pPr>
            <w:r>
              <w:rPr>
                <w:rFonts w:ascii="Dubai" w:hAnsi="Dubai" w:cs="Dubai"/>
                <w:b w:val="0"/>
                <w:sz w:val="22"/>
                <w:szCs w:val="22"/>
              </w:rPr>
              <w:t>He contributed to the national rollout of advanced oncology care standards in 2024, to the UAE's National Guideline for Lung Cancer Screening and Diagnosis, and to the National Multidisciplinary Committee for Cancer Case Assessment established under Ministerial Decree No. 20 of 2025. He founded the first hematology and oncology fellowship programme in the UAE's history and is Visiting Professor at Harvard Medical School. In February 2025 he received the Sheikha Fatima bint Mubarak Program for Excellence and Community Intelligence Award in the Distinguished Personality category, presented by His Highness Sheikh Mohamed bin Zayed Al Nahyan, President of the UAE.</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الابتكار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«حياة»: تحويل التبرع بالأعضاء وزراعتها من خلال الابتكار الرقمي.</w:t>
            </w:r>
          </w:p>
        </w:tc>
        <w:tc>
          <w:tcPr>
            <w:tcW w:type="dxa" w:w="2592"/>
          </w:tcPr>
          <w:p>
            <w:pPr>
              <w:bidi/>
              <w:spacing w:after="0" w:before="0"/>
            </w:pPr>
            <w:r>
              <w:rPr>
                <w:rFonts w:ascii="Dubai" w:hAnsi="Dubai" w:cs="Dubai"/>
                <w:b w:val="0"/>
                <w:sz w:val="22"/>
                <w:szCs w:val="22"/>
                <w:rtl/>
              </w:rPr>
              <w:t>مبادرة وطنية على مستوى دولة الإمارات العربية المتحدة.</w:t>
            </w:r>
          </w:p>
        </w:tc>
        <w:tc>
          <w:tcPr>
            <w:tcW w:type="dxa" w:w="7488"/>
          </w:tcPr>
          <w:p>
            <w:pPr>
              <w:spacing w:after="0"/>
            </w:pPr>
            <w:r>
              <w:rPr>
                <w:rFonts w:ascii="Dubai" w:hAnsi="Dubai" w:cs="Dubai"/>
                <w:b w:val="0"/>
                <w:sz w:val="22"/>
                <w:szCs w:val="22"/>
              </w:rPr>
              <w:t>HAYAT is a UAE-wide initiative that integrates organ donation and transplantation through coordinated governance, standardised clinical pathways, digital systems, and collaboration among healthcare providers and authorities across the Emirates. Implementing a unified national programme across organisations at different levels of digital maturity was recognised by the jury as a substantial undertaking.</w:t>
            </w:r>
          </w:p>
          <w:p>
            <w:pPr>
              <w:spacing w:after="0"/>
            </w:pPr>
            <w:r>
              <w:rPr>
                <w:rFonts w:ascii="Dubai" w:hAnsi="Dubai" w:cs="Dubai"/>
                <w:b w:val="0"/>
                <w:sz w:val="22"/>
                <w:szCs w:val="22"/>
              </w:rPr>
              <w:t>The programme has raised the deceased-donor rate to nearly 14 per million population and gathered more than 35,000 donor pledges. It is supported by digital dashboards, workforce development, quality assurance, regulatory progress and international collaboration, and extends to interventions not covered by insurance, in the interest of equitable access.</w:t>
            </w:r>
          </w:p>
          <w:p>
            <w:pPr>
              <w:spacing w:after="0"/>
            </w:pPr>
            <w:r>
              <w:rPr>
                <w:rFonts w:ascii="Dubai" w:hAnsi="Dubai" w:cs="Dubai"/>
                <w:b w:val="0"/>
                <w:sz w:val="22"/>
                <w:szCs w:val="22"/>
              </w:rPr>
              <w:t>The jury recorded HAYAT's significance within the UAE and the wider MENA region, alongside its attention to ethical considerations and to the cybersecurity of its digital platform, and its potential for further development including the use of artificial intelligence to improve operational efficiency. It scored 98 out of 100 at interview stage and 94.67 in the first round, the strongest overall performance in the award.</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من الرؤية إلى الواقع: بناء مركز تميّز لعلاج الحروق في دولة الإمارات العربية المتحدة.</w:t>
            </w:r>
          </w:p>
        </w:tc>
        <w:tc>
          <w:tcPr>
            <w:tcW w:type="dxa" w:w="2592"/>
          </w:tcPr>
          <w:p>
            <w:pPr>
              <w:bidi/>
              <w:spacing w:after="0" w:before="0"/>
            </w:pPr>
            <w:r>
              <w:rPr>
                <w:rFonts w:ascii="Dubai" w:hAnsi="Dubai" w:cs="Dubai"/>
                <w:b w:val="0"/>
                <w:sz w:val="22"/>
                <w:szCs w:val="22"/>
                <w:rtl/>
              </w:rPr>
              <w:t>مدينة الشيخ شخبوط الطبية.</w:t>
            </w:r>
          </w:p>
        </w:tc>
        <w:tc>
          <w:tcPr>
            <w:tcW w:type="dxa" w:w="7488"/>
          </w:tcPr>
          <w:p>
            <w:pPr>
              <w:spacing w:after="0"/>
            </w:pPr>
            <w:r>
              <w:rPr>
                <w:rFonts w:ascii="Dubai" w:hAnsi="Dubai" w:cs="Dubai"/>
                <w:b w:val="0"/>
                <w:sz w:val="22"/>
                <w:szCs w:val="22"/>
              </w:rPr>
              <w:t>Sheikh Shakhbout Medical City's Burn Center of Excellence has built coordinated specialist burn care in the United Arab Emirates, along a multidisciplinary pathway spanning emergency treatment, intensive care, early surgery, advanced wound management, rehabilitation, psychosocial support, referral coordination and follow-up.</w:t>
            </w:r>
          </w:p>
          <w:p>
            <w:pPr>
              <w:spacing w:after="0"/>
            </w:pPr>
            <w:r>
              <w:rPr>
                <w:rFonts w:ascii="Dubai" w:hAnsi="Dubai" w:cs="Dubai"/>
                <w:b w:val="0"/>
                <w:sz w:val="22"/>
                <w:szCs w:val="22"/>
              </w:rPr>
              <w:t>The centre has grown patient numbers by approximately 40 percent since the previous award cycle, and reports a mortality rate of 1.4 percent in 2025 and 1.3 percent for January to August 2026, with 95 percent of patients discharged home and high satisfaction with both treatment and rehabilitation care. A partnership with Ma'an supports treatment for people without insurance, widening access to a service that is otherwise difficult to reach.</w:t>
            </w:r>
          </w:p>
          <w:p>
            <w:pPr>
              <w:spacing w:after="0"/>
            </w:pPr>
            <w:r>
              <w:rPr>
                <w:rFonts w:ascii="Dubai" w:hAnsi="Dubai" w:cs="Dubai"/>
                <w:b w:val="0"/>
                <w:sz w:val="22"/>
                <w:szCs w:val="22"/>
              </w:rPr>
              <w:t>The centre is working towards American Burn Association verification, planned for 2027, and aims to become a leading regional centre for burn care. The jury judged it a high-value transformation of a healthcare service, with substantial potential for continued national impact.</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