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bidi/>
              <w:spacing w:after="0" w:before="0"/>
            </w:pPr>
            <w:r>
              <w:rPr>
                <w:rFonts w:ascii="Dubai" w:hAnsi="Dubai" w:cs="Dubai"/>
                <w:b w:val="0"/>
                <w:sz w:val="22"/>
                <w:szCs w:val="22"/>
                <w:rtl/>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الانتكاسي الهاجع، وأنّه يعكس نشاط المرض الحالي واحتمالات تطوّره مستقبلاً.</w:t>
            </w:r>
          </w:p>
          <w:p>
            <w:pPr>
              <w:bidi/>
              <w:spacing w:after="0" w:before="0"/>
            </w:pPr>
            <w:r>
              <w:rPr>
                <w:rFonts w:ascii="Dubai" w:hAnsi="Dubai" w:cs="Dubai"/>
                <w:b w:val="0"/>
                <w:sz w:val="22"/>
                <w:szCs w:val="22"/>
                <w:rtl/>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bidi/>
              <w:spacing w:after="0" w:before="0"/>
            </w:pPr>
            <w:r>
              <w:rPr>
                <w:rFonts w:ascii="Dubai" w:hAnsi="Dubai" w:cs="Dubai"/>
                <w:b w:val="0"/>
                <w:sz w:val="22"/>
                <w:szCs w:val="22"/>
                <w:rtl/>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bidi/>
              <w:spacing w:after="0" w:before="0"/>
            </w:pPr>
            <w:r>
              <w:rPr>
                <w:rFonts w:ascii="Dubai" w:hAnsi="Dubai" w:cs="Dubai"/>
                <w:b w:val="0"/>
                <w:sz w:val="22"/>
                <w:szCs w:val="22"/>
                <w:rtl/>
              </w:rPr>
              <w:t>وتشير النتائج إلى أنّ هذا البروتين قد يصلح مؤشراً حيوياً ديناميكياً غير جراحي لنشاط التصلب المتعدد، ذا قيمة في التنبؤ بمسار المرض.</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bidi/>
              <w:spacing w:after="0" w:before="0"/>
            </w:pPr>
            <w:r>
              <w:rPr>
                <w:rFonts w:ascii="Dubai" w:hAnsi="Dubai" w:cs="Dubai"/>
                <w:b w:val="0"/>
                <w:sz w:val="22"/>
                <w:szCs w:val="22"/>
                <w:rtl/>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bidi/>
              <w:spacing w:after="0" w:before="0"/>
            </w:pPr>
            <w:r>
              <w:rPr>
                <w:rFonts w:ascii="Dubai" w:hAnsi="Dubai" w:cs="Dubai"/>
                <w:b w:val="0"/>
                <w:sz w:val="22"/>
                <w:szCs w:val="22"/>
                <w:rtl/>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bidi/>
              <w:spacing w:after="0" w:before="0"/>
            </w:pPr>
            <w:r>
              <w:rPr>
                <w:rFonts w:ascii="Dubai" w:hAnsi="Dubai" w:cs="Dubai"/>
                <w:b w:val="0"/>
                <w:sz w:val="22"/>
                <w:szCs w:val="22"/>
                <w:rtl/>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bidi/>
              <w:spacing w:after="0" w:before="0"/>
            </w:pPr>
            <w:r>
              <w:rPr>
                <w:rFonts w:ascii="Dubai" w:hAnsi="Dubai" w:cs="Dubai"/>
                <w:b w:val="0"/>
                <w:sz w:val="22"/>
                <w:szCs w:val="22"/>
                <w:rtl/>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bidi/>
              <w:spacing w:after="0" w:before="0"/>
            </w:pPr>
            <w:r>
              <w:rPr>
                <w:rFonts w:ascii="Dubai" w:hAnsi="Dubai" w:cs="Dubai"/>
                <w:b w:val="0"/>
                <w:sz w:val="22"/>
                <w:szCs w:val="22"/>
                <w:rtl/>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bidi/>
              <w:spacing w:after="0" w:before="0"/>
            </w:pPr>
            <w:r>
              <w:rPr>
                <w:rFonts w:ascii="Dubai" w:hAnsi="Dubai" w:cs="Dubai"/>
                <w:b w:val="0"/>
                <w:sz w:val="22"/>
                <w:szCs w:val="22"/>
                <w:rtl/>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bidi/>
              <w:spacing w:after="0" w:before="0"/>
            </w:pPr>
            <w:r>
              <w:rPr>
                <w:rFonts w:ascii="Dubai" w:hAnsi="Dubai" w:cs="Dubai"/>
                <w:b w:val="0"/>
                <w:sz w:val="22"/>
                <w:szCs w:val="22"/>
                <w:rtl/>
              </w:rPr>
              <w:t>الدكتور أبوبكر عبدالرحمن شافي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bidi/>
              <w:spacing w:after="0" w:before="0"/>
            </w:pPr>
            <w:r>
              <w:rPr>
                <w:rFonts w:ascii="Dubai" w:hAnsi="Dubai" w:cs="Dubai"/>
                <w:b w:val="0"/>
                <w:sz w:val="22"/>
                <w:szCs w:val="22"/>
                <w:rtl/>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bidi/>
              <w:spacing w:after="0" w:before="0"/>
            </w:pPr>
            <w:r>
              <w:rPr>
                <w:rFonts w:ascii="Dubai" w:hAnsi="Dubai" w:cs="Dubai"/>
                <w:b w:val="0"/>
                <w:sz w:val="22"/>
                <w:szCs w:val="22"/>
                <w:rtl/>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bidi/>
              <w:spacing w:after="0" w:before="0"/>
            </w:pPr>
            <w:r>
              <w:rPr>
                <w:rFonts w:ascii="Dubai" w:hAnsi="Dubai" w:cs="Dubai"/>
                <w:b w:val="0"/>
                <w:sz w:val="22"/>
                <w:szCs w:val="22"/>
                <w:rtl/>
              </w:rPr>
              <w:t>وهو عضو في الهيئة التدريسية الأساسية لبرنامج الإقامة في طب الأعصاب بمستشفى راشد، ونائب رئيس جمعية الإمارات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bidi/>
              <w:spacing w:after="0" w:before="0"/>
            </w:pPr>
            <w:r>
              <w:rPr>
                <w:rFonts w:ascii="Dubai" w:hAnsi="Dubai" w:cs="Dubai"/>
                <w:b w:val="0"/>
                <w:sz w:val="22"/>
                <w:szCs w:val="22"/>
                <w:rtl/>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bidi/>
              <w:spacing w:after="0" w:before="0"/>
            </w:pPr>
            <w:r>
              <w:rPr>
                <w:rFonts w:ascii="Dubai" w:hAnsi="Dubai" w:cs="Dubai"/>
                <w:b w:val="0"/>
                <w:sz w:val="22"/>
                <w:szCs w:val="22"/>
                <w:rtl/>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bidi/>
              <w:spacing w:after="0" w:before="0"/>
            </w:pPr>
            <w:r>
              <w:rPr>
                <w:rFonts w:ascii="Dubai" w:hAnsi="Dubai" w:cs="Dubai"/>
                <w:b w:val="0"/>
                <w:sz w:val="22"/>
                <w:szCs w:val="22"/>
                <w:rtl/>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