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bidi/>
              <w:spacing w:after="0" w:before="0"/>
            </w:pPr>
            <w:r>
              <w:rPr>
                <w:rFonts w:ascii="Dubai" w:hAnsi="Dubai" w:cs="Dubai"/>
                <w:b w:val="0"/>
                <w:sz w:val="22"/>
                <w:szCs w:val="22"/>
                <w:rtl/>
              </w:rPr>
              <w:t>يُعدّ البروتين الغلافي للفيروس القهقري الداخلي المنشأ من النوع W، المعروف اختصاراً بـ pHERV-W ENV، من العوامل المرتبطة بآلية نشوء التصلب المتعدد، غير أنّ فائدته السريرية كمؤشر حيوي لم تكن محددة بوضوح. وقد وجدت الدراسة أنّ هذا البروتين يتركّز على الحويصلات خارج الخلوية (الإكسوسومات) المستخلصة من مصل الدم لدى المصابين بالتصلب المتعدد متكرر الانتكاس والخمود، وأنّه يعكس نشاط المرض الحالي واحتمالات تطوّره مستقبلاً.</w:t>
            </w:r>
          </w:p>
          <w:p>
            <w:pPr>
              <w:bidi/>
              <w:spacing w:after="0" w:before="0"/>
            </w:pPr>
            <w:r>
              <w:rPr>
                <w:rFonts w:ascii="Dubai" w:hAnsi="Dubai" w:cs="Dubai"/>
                <w:b w:val="0"/>
                <w:sz w:val="22"/>
                <w:szCs w:val="22"/>
                <w:rtl/>
              </w:rPr>
              <w:t>وقاس الفريق البحثي مستويات هذا البروتين لدى ثلاث مجموعات: مجموعة قارنّا فيها أشخاصاً أصحّاء بمرضى مستقرّين وآخرين في طور نشاط المرض؛ ومجموعة جرت متابعتها قبل نوبات النشاط وأثناءها وبعدها؛ ومجموعة من المرضى حديثي التشخيص جرت متابعتهم على مدى ثلاث سنوات.</w:t>
            </w:r>
          </w:p>
          <w:p>
            <w:pPr>
              <w:bidi/>
              <w:spacing w:after="0" w:before="0"/>
            </w:pPr>
            <w:r>
              <w:rPr>
                <w:rFonts w:ascii="Dubai" w:hAnsi="Dubai" w:cs="Dubai"/>
                <w:b w:val="0"/>
                <w:sz w:val="22"/>
                <w:szCs w:val="22"/>
                <w:rtl/>
              </w:rPr>
              <w:t>ارتفعت المستويات خلال نشاط المرض ثم تراجعت عند المتابعة، وارتبطت بتعبير بروتين LMP2A المشتق من فيروس إبشتاين-بار، وتبيّن أنّ الخلايا الوحيدة والخلايا البائية هي المصدر الأساسي للبروتين في الدورة الدموية. أمّا المرضى الذين سجّلوا مستويات مرتفعة عند خط الأساس فقد شهدوا نشاطاً مرضياً أكبر — انتكاسات سريرية وآفات جديدة أو متوسّعة في التصوير بالرنين المغناطيسي — على مدى ثلاث سنوات، وفقدوا حالة «انعدام الدليل على نشاط المرض» في وقت أبكر.</w:t>
            </w:r>
          </w:p>
          <w:p>
            <w:pPr>
              <w:bidi/>
              <w:spacing w:after="0" w:before="0"/>
            </w:pPr>
            <w:r>
              <w:rPr>
                <w:rFonts w:ascii="Dubai" w:hAnsi="Dubai" w:cs="Dubai"/>
                <w:b w:val="0"/>
                <w:sz w:val="22"/>
                <w:szCs w:val="22"/>
                <w:rtl/>
              </w:rPr>
              <w:t>وتشير النتائج إلى أنّ هذا البروتين قد يصلح مؤشراً حيوياً ديناميكياً غير جراحي لنشاط التصلب المتعدد، ذا قيمة في التنبؤ بمسار المرض.</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مسودة مرجع البانجينوم العربي المستند إلى بيانات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bidi/>
              <w:spacing w:after="0" w:before="0"/>
            </w:pPr>
            <w:r>
              <w:rPr>
                <w:rFonts w:ascii="Dubai" w:hAnsi="Dubai" w:cs="Dubai"/>
                <w:b w:val="0"/>
                <w:sz w:val="22"/>
                <w:szCs w:val="22"/>
                <w:rtl/>
              </w:rPr>
              <w:t>لطالما أغفلت المراجع الجينومية العالمية المعتمدة تمثيل الشعوب العربية. وقد بنت هذه الدراسة أول مرجع جينومي عربي شامل، اعتماداً على تسلسل الحمض النووي عالي الجودة بتقنية القراءات الطويلة لـ53 شخصاً من خلفيات عربية متنوّعة في دولة الإمارات. وأُجريت جميع مراحل البحث داخل مركز علم الجينوم التطبيقي والانتقالي في جامعة محمد بن راشد للطب والعلوم الصحية، ذراع التعلّم والاكتشاف في «دبي الصحية»، بدءاً من التسلسل الجيني ووصولاً إلى تحليلات المعلوماتية الحيوية المتقدمة.</w:t>
            </w:r>
          </w:p>
          <w:p>
            <w:pPr>
              <w:bidi/>
              <w:spacing w:after="0" w:before="0"/>
            </w:pPr>
            <w:r>
              <w:rPr>
                <w:rFonts w:ascii="Dubai" w:hAnsi="Dubai" w:cs="Dubai"/>
                <w:b w:val="0"/>
                <w:sz w:val="22"/>
                <w:szCs w:val="22"/>
                <w:rtl/>
              </w:rPr>
              <w:t>وكشف المرجع عن أكثر من 110 ملايين زوج قاعدي من تسلسلات الحمض النووي لم تكن موثّقة من قبل، وقرابة تسعة ملايين متغيّر جيني صغير، وأكثر من 235 ألف متغيّر هيكلي كبير خاص بالشعوب العربية لم يسبق تسجيلها. ومن أبرز الاكتشافات الجين المكرّر (TAF11L5) الذي ظهر بكثافة لدى المشاركين العرب بينما لم يُسجّل وجوده في المراجع الجينومية العالمية، والذي قد يؤدي دوراً في تنظيم الجينات الأخرى، بما ينعكس على فهم المخاطر الصحية واستجابة الأفراد للعلاجات.</w:t>
            </w:r>
          </w:p>
          <w:p>
            <w:pPr>
              <w:bidi/>
              <w:spacing w:after="0" w:before="0"/>
            </w:pPr>
            <w:r>
              <w:rPr>
                <w:rFonts w:ascii="Dubai" w:hAnsi="Dubai" w:cs="Dubai"/>
                <w:b w:val="0"/>
                <w:sz w:val="22"/>
                <w:szCs w:val="22"/>
                <w:rtl/>
              </w:rPr>
              <w:t>كما أنتج المشروع أداة PanScan التي ترصد تكرارات الجينات والتغيّرات الجديدة في الحمض النووي والتراكيب الجينومية المعقّدة، وهي متاحة للباحثين على منصة GitHub. وقد نُشر المرجع في مجلة «نيتشر كوميونيكيشنز»، وهو يمكّن من تطوير المؤشرات الحيوية الخاصة بالسكان ونماذج المخاطر والأهداف العلاجية، ويدعم الاستراتيجية الوطنية للجينوم في دولة الإمارات.</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bidi/>
              <w:spacing w:after="0" w:before="0"/>
            </w:pPr>
            <w:r>
              <w:rPr>
                <w:rFonts w:ascii="Dubai" w:hAnsi="Dubai" w:cs="Dubai"/>
                <w:b w:val="0"/>
                <w:sz w:val="22"/>
                <w:szCs w:val="22"/>
                <w:rtl/>
              </w:rPr>
              <w:t>تخرّج الدكتور خالد فخرو عام 2001 في طليعة دفعته على مستوى بلاده، واختار علم الوراثة في وقت كان يُنظر إليه فيه على أنّه تخصّص محدود الآفاق المهنية في دول مجلس التعاون الخليجي. نال درجة البكالوريوس من جامعة شيكاغو، ثم الماجستير والدكتوراه من جامعة ييل بمنح دراسية كاملة، وأتمّ تدريبه في كلية طب وايل كورنيل.</w:t>
            </w:r>
          </w:p>
          <w:p>
            <w:pPr>
              <w:bidi/>
              <w:spacing w:after="0" w:before="0"/>
            </w:pPr>
            <w:r>
              <w:rPr>
                <w:rFonts w:ascii="Dubai" w:hAnsi="Dubai" w:cs="Dubai"/>
                <w:b w:val="0"/>
                <w:sz w:val="22"/>
                <w:szCs w:val="22"/>
                <w:rtl/>
              </w:rPr>
              <w:t>عاد إلى قطر حيث كانت البنية التحتية للأبحاث الجينومية المحلية — على حدّ وصفه — بدائية. وبفريق صغير تمكّن من إجراء التسلسل الجيني لأكثر من 2000 شخص بحلول أواخر عام 2016. وشملت اكتشافات الفريق تحديد جماعة عربية مؤسِّسة أصيلة تنحدر من أقدم هجرات البشر خارج أفريقيا، وقد تصدّرت غلاف مجلة Genome Research في فبراير 2016، إضافة إلى أول دراسة لأثر الانحياز المرجعي لدى المرضى العرب، التي وجدت أنّ ما يقارب 15 بالمئة مما يُصنَّف «أليلات متغايرة» ينبغي اعتباره مرجعياً لدى القطريين، من بينها نحو 200 صُنِّفت خطأً على أنها مُمرِضة في قاعدة بيانات OMIM.</w:t>
            </w:r>
          </w:p>
          <w:p>
            <w:pPr>
              <w:bidi/>
              <w:spacing w:after="0" w:before="0"/>
            </w:pPr>
            <w:r>
              <w:rPr>
                <w:rFonts w:ascii="Dubai" w:hAnsi="Dubai" w:cs="Dubai"/>
                <w:b w:val="0"/>
                <w:sz w:val="22"/>
                <w:szCs w:val="22"/>
                <w:rtl/>
              </w:rPr>
              <w:t>وبتعيينه كبيراً للاستشاريين في برنامج قطر جينوم عام 2014، ثم مديراً مؤسِّساً لعلم الوراثة البشرية في سدرة للطب عام 2016، أسّس أول برنامج لتسلسل الجينوم الكامل عند نقطة الرعاية في قطر، وبلغ معدّل التشخيص فيه نحو 60 بالمئة، كما أنشأ أكبر مورد حيوي للتوحّد في المنطقة. وقد أسهمت فرقه بأكثر من 1000 إكسوم وجينوم قطري في النطاق العام، وهي أكبر مساهمة عربية بالجينومات في قاعدة بيانات عامة حتى تاريخه.</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تطوير فحص تسلسل بالقراءات الطويلة قائم على أخذ العيّنات التكيّفي للفحص الجيني قبل الزواج.</w:t>
            </w:r>
          </w:p>
        </w:tc>
        <w:tc>
          <w:tcPr>
            <w:tcW w:type="dxa" w:w="2592"/>
          </w:tcPr>
          <w:p>
            <w:pPr>
              <w:bidi/>
              <w:spacing w:after="0" w:before="0"/>
            </w:pPr>
            <w:r>
              <w:rPr>
                <w:rFonts w:ascii="Dubai" w:hAnsi="Dubai" w:cs="Dubai"/>
                <w:b w:val="0"/>
                <w:sz w:val="22"/>
                <w:szCs w:val="22"/>
                <w:rtl/>
              </w:rPr>
            </w:r>
          </w:p>
        </w:tc>
        <w:tc>
          <w:tcPr>
            <w:tcW w:type="dxa" w:w="7488"/>
          </w:tcPr>
          <w:p>
            <w:pPr>
              <w:bidi/>
              <w:spacing w:after="0" w:before="0"/>
            </w:pPr>
            <w:r>
              <w:rPr>
                <w:rFonts w:ascii="Dubai" w:hAnsi="Dubai" w:cs="Dubai"/>
                <w:b w:val="0"/>
                <w:sz w:val="22"/>
                <w:szCs w:val="22"/>
                <w:rtl/>
              </w:rPr>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تعلّم عميق قابل للتفسير سريرياً للتنبؤ بإمراضية المتغيّرات المغلوطة في سرطان الثدي.</w:t>
            </w:r>
          </w:p>
        </w:tc>
        <w:tc>
          <w:tcPr>
            <w:tcW w:type="dxa" w:w="2592"/>
          </w:tcPr>
          <w:p>
            <w:pPr>
              <w:bidi/>
              <w:spacing w:after="0" w:before="0"/>
            </w:pPr>
            <w:r>
              <w:rPr>
                <w:rFonts w:ascii="Dubai" w:hAnsi="Dubai" w:cs="Dubai"/>
                <w:b w:val="0"/>
                <w:sz w:val="22"/>
                <w:szCs w:val="22"/>
                <w:rtl/>
              </w:rPr>
            </w:r>
          </w:p>
        </w:tc>
        <w:tc>
          <w:tcPr>
            <w:tcW w:type="dxa" w:w="7488"/>
          </w:tcPr>
          <w:p>
            <w:pPr>
              <w:bidi/>
              <w:spacing w:after="0" w:before="0"/>
            </w:pPr>
            <w:r>
              <w:rPr>
                <w:rFonts w:ascii="Dubai" w:hAnsi="Dubai" w:cs="Dubai"/>
                <w:b w:val="0"/>
                <w:sz w:val="22"/>
                <w:szCs w:val="22"/>
                <w:rtl/>
              </w:rPr>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نمذجة متلازمة درافيه وتصميم دواء بالحمض النووي الريبي المرسال يعكس النمط الظاهري الجزيئي في الخلايا العصبية المشتقة من الخلايا الجذعية المحفَّزة.</w:t>
            </w:r>
          </w:p>
        </w:tc>
        <w:tc>
          <w:tcPr>
            <w:tcW w:type="dxa" w:w="2592"/>
          </w:tcPr>
          <w:p>
            <w:pPr>
              <w:bidi/>
              <w:spacing w:after="0" w:before="0"/>
            </w:pPr>
            <w:r>
              <w:rPr>
                <w:rFonts w:ascii="Dubai" w:hAnsi="Dubai" w:cs="Dubai"/>
                <w:b w:val="0"/>
                <w:sz w:val="22"/>
                <w:szCs w:val="22"/>
                <w:rtl/>
              </w:rPr>
            </w:r>
          </w:p>
        </w:tc>
        <w:tc>
          <w:tcPr>
            <w:tcW w:type="dxa" w:w="7488"/>
          </w:tcPr>
          <w:p>
            <w:pPr>
              <w:bidi/>
              <w:spacing w:after="0" w:before="0"/>
            </w:pPr>
            <w:r>
              <w:rPr>
                <w:rFonts w:ascii="Dubai" w:hAnsi="Dubai" w:cs="Dubai"/>
                <w:b w:val="0"/>
                <w:sz w:val="22"/>
                <w:szCs w:val="22"/>
                <w:rtl/>
              </w:rPr>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شافعي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bidi/>
              <w:spacing w:after="0" w:before="0"/>
            </w:pPr>
            <w:r>
              <w:rPr>
                <w:rFonts w:ascii="Dubai" w:hAnsi="Dubai" w:cs="Dubai"/>
                <w:b w:val="0"/>
                <w:sz w:val="22"/>
                <w:szCs w:val="22"/>
                <w:rtl/>
              </w:rPr>
              <w:t>الدكتور أبوبكر عبدالرحمن شافعي المدني استشاري أمراض المخ والأعصاب ورئيس قسم طب الأعصاب بمستشفى راشد، وأستاذ طب الأعصاب بجامعة محمد بن راشد للطب والعلوم الصحية. وبقيادته للقسم منذ عام 2011، بنى أكبر خدمة لطب الأعصاب في دولة الإمارات العربية المتحدة، تُعنى بأكثر من 20 ألف مريض سنوياً عبر مستشفيات راشد ودبي ولطيفة.</w:t>
            </w:r>
          </w:p>
          <w:p>
            <w:pPr>
              <w:bidi/>
              <w:spacing w:after="0" w:before="0"/>
            </w:pPr>
            <w:r>
              <w:rPr>
                <w:rFonts w:ascii="Dubai" w:hAnsi="Dubai" w:cs="Dubai"/>
                <w:b w:val="0"/>
                <w:sz w:val="22"/>
                <w:szCs w:val="22"/>
                <w:rtl/>
              </w:rPr>
              <w:t>وتحت قيادته حصل برنامج السكتة الدماغية في القسم على اعتماد الجمعية الألمانية للسكتة الدماغية، ونال المستشفى اعتماده مركزاً للتصلب المتعدد من لجنة الشرق الأوسط وشمال أفريقيا لعلاج وأبحاث التصلب المتعدد، كما جرى تشغيل وحدة طب الأعصاب والسكتة الدماغية بسعة 18 سريراً التي افتُتحت عام 2019. ويحتفظ القسم بسجلات مرضية في التصلب المتعدد والخرف واعتلال الأعصاب والصداع واضطرابات الحركة والصرع، إلى جانب عيادات متخصصة في الطب العصبي العضلي والعلاج بتوكسين البوتولينوم وبرمجة التحفيز العميق للدماغ.</w:t>
            </w:r>
          </w:p>
          <w:p>
            <w:pPr>
              <w:bidi/>
              <w:spacing w:after="0" w:before="0"/>
            </w:pPr>
            <w:r>
              <w:rPr>
                <w:rFonts w:ascii="Dubai" w:hAnsi="Dubai" w:cs="Dubai"/>
                <w:b w:val="0"/>
                <w:sz w:val="22"/>
                <w:szCs w:val="22"/>
                <w:rtl/>
              </w:rPr>
              <w:t>وقد أسّس خدمة الصداع متعددة التخصصات في «دبي الصحية»، وأوصلها إلى مركزي البرشاء ونَد الحمر للرعاية الصحية الأولية؛ فارتفعت نسبة الإحالة إلى الاختصاصيين من نحو خمسة بالمئة إلى ما يقارب خمسين بالمئة، برضا المرضى بين 80 و90 بالمئة.</w:t>
            </w:r>
          </w:p>
          <w:p>
            <w:pPr>
              <w:bidi/>
              <w:spacing w:after="0" w:before="0"/>
            </w:pPr>
            <w:r>
              <w:rPr>
                <w:rFonts w:ascii="Dubai" w:hAnsi="Dubai" w:cs="Dubai"/>
                <w:b w:val="0"/>
                <w:sz w:val="22"/>
                <w:szCs w:val="22"/>
                <w:rtl/>
              </w:rPr>
              <w:t>وهو عضو في الهيئة التدريسية الأساسية لبرنامج الإقامة في طب الأعصاب بمستشفى راشد، ونائب رئيس الجمعية الإماراتية لطب الأعصاب، وله أكثر من 40 بحثاً محكّماً، وأسهم في أول إرشادات علاجية وطنية للتصلب المتعدد في دولة الإمارات — المعتمدة اليوم ضمن برنامج «إجادة» بهيئة الصحة بدبي — وفي الإطار الوطني لمرض الزهايمر في الدولة.</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bidi/>
              <w:spacing w:after="0" w:before="0"/>
            </w:pPr>
            <w:r>
              <w:rPr>
                <w:rFonts w:ascii="Dubai" w:hAnsi="Dubai" w:cs="Dubai"/>
                <w:b w:val="0"/>
                <w:sz w:val="22"/>
                <w:szCs w:val="22"/>
                <w:rtl/>
              </w:rPr>
              <w:t>الأستاذ الدكتور حميد عبيد بن حرمل الشامسي هو الرئيس التنفيذي لمعهد برجيل للأورام ورئيس جمعية الإمارات للأورام، وله أكثر من 20 عاماً من الخبرة استشارياً في الأورام. ومنذ التحاقه بمجموعة برجيل القابضة في سبتمبر 2020 قاد تأسيس أكبر شبكة متكاملة لرعاية مرضى السرطان في دولة الإمارات، بمراكز في أبوظبي والشارقة والعين والرويس، بما قرّب الخدمات التخصصية من منازل المرضى. وهو يقدّم استشارات مجانية لمرضى السرطان غير المؤمَّن عليهم، ويعمل مع الجمعيات الخيرية ليصل الدعم إلى المرضى أينما تلقّوا علاجهم.</w:t>
            </w:r>
          </w:p>
          <w:p>
            <w:pPr>
              <w:bidi/>
              <w:spacing w:after="0" w:before="0"/>
            </w:pPr>
            <w:r>
              <w:rPr>
                <w:rFonts w:ascii="Dubai" w:hAnsi="Dubai" w:cs="Dubai"/>
                <w:b w:val="0"/>
                <w:sz w:val="22"/>
                <w:szCs w:val="22"/>
                <w:rtl/>
              </w:rPr>
              <w:t>وقد حصل على أول وحيد اعتماد من الجمعية الأوروبية لطب الأورام (ESMO) لمركز سرطان في دولة الإمارات، وأسّس أبرز وحدة متكاملة لزراعة نخاع العظم في الدولة، التي أجرت 160 عملية زراعة، أكثر من 50 منها مجاناً لمرضى دوليين من 20 جنسية، وتحقّق ذلك في ذروة جائحة كوفيد-19 حين كان السفر الدولي مقيّداً.</w:t>
            </w:r>
          </w:p>
          <w:p>
            <w:pPr>
              <w:bidi/>
              <w:spacing w:after="0" w:before="0"/>
            </w:pPr>
            <w:r>
              <w:rPr>
                <w:rFonts w:ascii="Dubai" w:hAnsi="Dubai" w:cs="Dubai"/>
                <w:b w:val="0"/>
                <w:sz w:val="22"/>
                <w:szCs w:val="22"/>
                <w:rtl/>
              </w:rPr>
              <w:t>وأسهم في التطبيق الوطني لمعايير الرعاية المتقدمة للأورام عام 2024، وفي الدليل الوطني للكشف المبكر عن سرطان الرئة وتشخيصه في الدولة، وفي اللجنة الوطنية متعددة التخصصات لتقييم حالات السرطان المُنشأة بموجب القرار الوزاري رقم (20) لعام 2025. كما أسّس أول برنامج زمالة في أمراض الدم والأورام في تاريخ الدولة، وهو بروفيسور زائر في كلية الطب بجامعة هارفارد. وفي فبراير 2025 نال جائزة برنامج سمو الشيخة فاطمة بنت مبارك للتميز والذكاء المجتمعي في فئة الشخصية المتميزة، وقد سلّمها له صاحب السمو الشيخ محمد بن زايد آل نهيان، رئيس الدولة.</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«حياة»: تحويل التبرع بالأعضاء وزراعتها من خلال الابتكار الرقمي.</w:t>
            </w:r>
          </w:p>
        </w:tc>
        <w:tc>
          <w:tcPr>
            <w:tcW w:type="dxa" w:w="2592"/>
          </w:tcPr>
          <w:p>
            <w:pPr>
              <w:bidi/>
              <w:spacing w:after="0" w:before="0"/>
            </w:pPr>
            <w:r>
              <w:rPr>
                <w:rFonts w:ascii="Dubai" w:hAnsi="Dubai" w:cs="Dubai"/>
                <w:b w:val="0"/>
                <w:sz w:val="22"/>
                <w:szCs w:val="22"/>
                <w:rtl/>
              </w:rPr>
              <w:t>مبادرة وطنية على مستوى دولة الإمارات العربية المتحدة.</w:t>
            </w:r>
          </w:p>
        </w:tc>
        <w:tc>
          <w:tcPr>
            <w:tcW w:type="dxa" w:w="7488"/>
          </w:tcPr>
          <w:p>
            <w:pPr>
              <w:bidi/>
              <w:spacing w:after="0" w:before="0"/>
            </w:pPr>
            <w:r>
              <w:rPr>
                <w:rFonts w:ascii="Dubai" w:hAnsi="Dubai" w:cs="Dubai"/>
                <w:b w:val="0"/>
                <w:sz w:val="22"/>
                <w:szCs w:val="22"/>
                <w:rtl/>
              </w:rPr>
              <w:t>«حياة» مبادرة على مستوى دولة الإمارات العربية المتحدة تُعنى بتكامل منظومة التبرع بالأعضاء وزراعتها، عبر حوكمة منسّقة ومسارات سريرية موحّدة وأنظمة رقمية وتعاون بين مقدّمي الرعاية الصحية والجهات المعنية في مختلف الإمارات. وقد اعتبرت لجنة التحكيم أنّ تطبيق برنامج وطني موحّد عبر مؤسسات تتفاوت في مستوى نضجها الرقمي يمثّل إنجازاً كبيراً.</w:t>
            </w:r>
          </w:p>
          <w:p>
            <w:pPr>
              <w:bidi/>
              <w:spacing w:after="0" w:before="0"/>
            </w:pPr>
            <w:r>
              <w:rPr>
                <w:rFonts w:ascii="Dubai" w:hAnsi="Dubai" w:cs="Dubai"/>
                <w:b w:val="0"/>
                <w:sz w:val="22"/>
                <w:szCs w:val="22"/>
                <w:rtl/>
              </w:rPr>
              <w:t>ورفع البرنامج معدّل التبرع من المتوفين إلى نحو 14 متبرعاً لكل مليون نسمة، وجمع أكثر من 35 ألف تعهّد بالتبرع. ويستند إلى لوحات بيانات رقمية وتطوير للكوادر وضمان للجودة وتقدّم تنظيمي وتعاون دولي، ويشمل تدخّلات غير مشمولة بالتأمين بما يخدم عدالة الوصول إلى الرعاية.</w:t>
            </w:r>
          </w:p>
          <w:p>
            <w:pPr>
              <w:bidi/>
              <w:spacing w:after="0" w:before="0"/>
            </w:pPr>
            <w:r>
              <w:rPr>
                <w:rFonts w:ascii="Dubai" w:hAnsi="Dubai" w:cs="Dubai"/>
                <w:b w:val="0"/>
                <w:sz w:val="22"/>
                <w:szCs w:val="22"/>
                <w:rtl/>
              </w:rPr>
              <w:t>وسجّلت اللجنة أهمية «حياة» داخل دولة الإمارات وفي منطقة الشرق الأوسط وشمال أفريقيا، إلى جانب عنايته بالاعتبارات الأخلاقية وبأمن المعلومات في منصّته الرقمية، وإمكانات تطويره مستقبلاً بما في ذلك توظيف الذكاء الاصطناعي لتحسين الكفاءة التشغيلية. وقد نال 98 من 100 في مرحلة المقابلات و94.67 في المرحلة الأولى، وهو أعلى أداء في الجائزة.</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من الرؤية إلى الواقع: بناء مركز تميّز لعلاج الحروق في دولة الإمارات العربية المتحدة.</w:t>
            </w:r>
          </w:p>
        </w:tc>
        <w:tc>
          <w:tcPr>
            <w:tcW w:type="dxa" w:w="2592"/>
          </w:tcPr>
          <w:p>
            <w:pPr>
              <w:bidi/>
              <w:spacing w:after="0" w:before="0"/>
            </w:pPr>
            <w:r>
              <w:rPr>
                <w:rFonts w:ascii="Dubai" w:hAnsi="Dubai" w:cs="Dubai"/>
                <w:b w:val="0"/>
                <w:sz w:val="22"/>
                <w:szCs w:val="22"/>
                <w:rtl/>
              </w:rPr>
              <w:t>مدينة الشيخ شخبوط الطبية.</w:t>
            </w:r>
          </w:p>
        </w:tc>
        <w:tc>
          <w:tcPr>
            <w:tcW w:type="dxa" w:w="7488"/>
          </w:tcPr>
          <w:p>
            <w:pPr>
              <w:bidi/>
              <w:spacing w:after="0" w:before="0"/>
            </w:pPr>
            <w:r>
              <w:rPr>
                <w:rFonts w:ascii="Dubai" w:hAnsi="Dubai" w:cs="Dubai"/>
                <w:b w:val="0"/>
                <w:sz w:val="22"/>
                <w:szCs w:val="22"/>
                <w:rtl/>
              </w:rPr>
              <w:t>أنشأ مركز التميّز لعلاج الحروق في مدينة الشيخ شخبوط الطبية رعاية تخصصية منسّقة للحروق في دولة الإمارات العربية المتحدة، عبر مسار متعدد التخصصات يمتد من العلاج الطارئ والعناية المركّزة والجراحة المبكرة والعناية المتقدمة بالجروح، إلى إعادة التأهيل والدعم النفسي والاجتماعي وتنسيق الإحالات والمتابعة.</w:t>
            </w:r>
          </w:p>
          <w:p>
            <w:pPr>
              <w:bidi/>
              <w:spacing w:after="0" w:before="0"/>
            </w:pPr>
            <w:r>
              <w:rPr>
                <w:rFonts w:ascii="Dubai" w:hAnsi="Dubai" w:cs="Dubai"/>
                <w:b w:val="0"/>
                <w:sz w:val="22"/>
                <w:szCs w:val="22"/>
                <w:rtl/>
              </w:rPr>
              <w:t>وقد ارتفع عدد المرضى في المركز بنحو 40 بالمئة منذ الدورة السابقة للجائزة، وسجّل معدّل وفيات بلغ 1.4 بالمئة في عام 2025 و1.3 بالمئة في الفترة من يناير إلى أغسطس 2026، مع خروج 95 بالمئة من المرضى إلى منازلهم ومستويات رضا مرتفعة عن العلاج وعن رعاية إعادة التأهيل. كما تدعم شراكة مع مؤسسة «معاً» علاج غير المؤمَّن عليهم، بما يوسّع الوصول إلى خدمة يصعب بلوغها لولا ذلك.</w:t>
            </w:r>
          </w:p>
          <w:p>
            <w:pPr>
              <w:bidi/>
              <w:spacing w:after="0" w:before="0"/>
            </w:pPr>
            <w:r>
              <w:rPr>
                <w:rFonts w:ascii="Dubai" w:hAnsi="Dubai" w:cs="Dubai"/>
                <w:b w:val="0"/>
                <w:sz w:val="22"/>
                <w:szCs w:val="22"/>
                <w:rtl/>
              </w:rPr>
              <w:t>ويعمل المركز على نيل اعتماد الجمعية الأمريكية للحروق المقرر في عام 2027، ويتطلّع إلى أن يكون مركزاً إقليمياً رائداً في علاج الحروق. وقد رأت لجنة التحكيم فيه تحوّلاً عالي القيمة في خدمة صحية، يحمل إمكانات كبيرة لأثر وطني متواصل.</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