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متكرر الانتكاس والخمود، وأنّه يعكس نشاط المرض الحالي واحتمالات تطوّره مستقبلاً.</w:t>
            </w:r>
          </w:p>
          <w:p>
            <w:pPr>
              <w:spacing w:after="0"/>
            </w:pPr>
            <w:r>
              <w:rPr>
                <w:rFonts w:ascii="Dubai" w:hAnsi="Dubai" w:cs="Dubai"/>
                <w:b w:val="0"/>
                <w:sz w:val="22"/>
                <w:szCs w:val="22"/>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spacing w:after="0"/>
            </w:pPr>
            <w:r>
              <w:rPr>
                <w:rFonts w:ascii="Dubai" w:hAnsi="Dubai" w:cs="Dubai"/>
                <w:b w:val="0"/>
                <w:sz w:val="22"/>
                <w:szCs w:val="22"/>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spacing w:after="0"/>
            </w:pPr>
            <w:r>
              <w:rPr>
                <w:rFonts w:ascii="Dubai" w:hAnsi="Dubai" w:cs="Dubai"/>
                <w:b w:val="0"/>
                <w:sz w:val="22"/>
                <w:szCs w:val="22"/>
              </w:rPr>
              <w:t>وتشير النتائج إلى أنّ هذا البروتين قد يصلح مؤشراً حيوياً ديناميكياً غير جراحي لنشاط التصلب المتعدد، ذا قيمة في التنبؤ بمسار المرض.</w:t>
            </w:r>
          </w:p>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spacing w:after="0"/>
            </w:pPr>
            <w:r>
              <w:rPr>
                <w:rFonts w:ascii="Dubai" w:hAnsi="Dubai" w:cs="Dubai"/>
                <w:b w:val="0"/>
                <w:sz w:val="22"/>
                <w:szCs w:val="22"/>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spacing w:after="0"/>
            </w:pPr>
            <w:r>
              <w:rPr>
                <w:rFonts w:ascii="Dubai" w:hAnsi="Dubai" w:cs="Dubai"/>
                <w:b w:val="0"/>
                <w:sz w:val="22"/>
                <w:szCs w:val="22"/>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spacing w:after="0"/>
            </w:pPr>
            <w:r>
              <w:rPr>
                <w:rFonts w:ascii="Dubai" w:hAnsi="Dubai" w:cs="Dubai"/>
                <w:b w:val="0"/>
                <w:sz w:val="22"/>
                <w:szCs w:val="22"/>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spacing w:after="0"/>
            </w:pPr>
            <w:r>
              <w:rPr>
                <w:rFonts w:ascii="Dubai" w:hAnsi="Dubai" w:cs="Dubai"/>
                <w:b w:val="0"/>
                <w:sz w:val="22"/>
                <w:szCs w:val="22"/>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تطوير فحص تسلسل بالقراءات الطويلة قائم على أخذ العيّنات التكيّفي للفحص الجيني قبل الزواج.</w:t>
            </w:r>
          </w:p>
        </w:tc>
        <w:tc>
          <w:tcPr>
            <w:tcW w:type="dxa" w:w="2592"/>
          </w:tcPr>
          <w:p>
            <w:pPr>
              <w:bidi/>
              <w:spacing w:after="0" w:before="0"/>
            </w:pPr>
            <w:r>
              <w:rPr>
                <w:rFonts w:ascii="Dubai" w:hAnsi="Dubai" w:cs="Dubai"/>
                <w:b w:val="0"/>
                <w:sz w:val="22"/>
                <w:szCs w:val="22"/>
                <w:rtl/>
              </w:rPr>
            </w:r>
          </w:p>
        </w:tc>
        <w:tc>
          <w:tcPr>
            <w:tcW w:type="dxa" w:w="7488"/>
          </w:tcPr>
          <w:p>
            <w:pPr>
              <w:spacing w:after="0"/>
            </w:pPr>
            <w:r>
              <w:rPr>
                <w:rFonts w:ascii="Dubai" w:hAnsi="Dubai" w:cs="Dubai"/>
                <w:b w:val="0"/>
                <w:sz w:val="22"/>
                <w:szCs w:val="22"/>
              </w:rPr>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تعلّم عميق قابل للتفسير سريرياً للتنبؤ بإمراضية المتغيّرات المغلوطة في سرطان الثدي.</w:t>
            </w:r>
          </w:p>
        </w:tc>
        <w:tc>
          <w:tcPr>
            <w:tcW w:type="dxa" w:w="2592"/>
          </w:tcPr>
          <w:p>
            <w:pPr>
              <w:bidi/>
              <w:spacing w:after="0" w:before="0"/>
            </w:pPr>
            <w:r>
              <w:rPr>
                <w:rFonts w:ascii="Dubai" w:hAnsi="Dubai" w:cs="Dubai"/>
                <w:b w:val="0"/>
                <w:sz w:val="22"/>
                <w:szCs w:val="22"/>
                <w:rtl/>
              </w:rPr>
            </w:r>
          </w:p>
        </w:tc>
        <w:tc>
          <w:tcPr>
            <w:tcW w:type="dxa" w:w="7488"/>
          </w:tcPr>
          <w:p>
            <w:pPr>
              <w:spacing w:after="0"/>
            </w:pPr>
            <w:r>
              <w:rPr>
                <w:rFonts w:ascii="Dubai" w:hAnsi="Dubai" w:cs="Dubai"/>
                <w:b w:val="0"/>
                <w:sz w:val="22"/>
                <w:szCs w:val="22"/>
              </w:rPr>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نمذجة متلازمة درافيه وتصميم دواء بالحمض النووي الريبي المرسال يعكس النمط الظاهري الجزيئي في الخلايا العصبية المشتقة من الخلايا الجذعية المحفَّزة.</w:t>
            </w:r>
          </w:p>
        </w:tc>
        <w:tc>
          <w:tcPr>
            <w:tcW w:type="dxa" w:w="2592"/>
          </w:tcPr>
          <w:p>
            <w:pPr>
              <w:bidi/>
              <w:spacing w:after="0" w:before="0"/>
            </w:pPr>
            <w:r>
              <w:rPr>
                <w:rFonts w:ascii="Dubai" w:hAnsi="Dubai" w:cs="Dubai"/>
                <w:b w:val="0"/>
                <w:sz w:val="22"/>
                <w:szCs w:val="22"/>
                <w:rtl/>
              </w:rPr>
            </w:r>
          </w:p>
        </w:tc>
        <w:tc>
          <w:tcPr>
            <w:tcW w:type="dxa" w:w="7488"/>
          </w:tcPr>
          <w:p>
            <w:pPr>
              <w:spacing w:after="0"/>
            </w:pPr>
            <w:r>
              <w:rPr>
                <w:rFonts w:ascii="Dubai" w:hAnsi="Dubai" w:cs="Dubai"/>
                <w:b w:val="0"/>
                <w:sz w:val="22"/>
                <w:szCs w:val="22"/>
              </w:rPr>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الدكتور أبوبكر عبدالرحمن شافعي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spacing w:after="0"/>
            </w:pPr>
            <w:r>
              <w:rPr>
                <w:rFonts w:ascii="Dubai" w:hAnsi="Dubai" w:cs="Dubai"/>
                <w:b w:val="0"/>
                <w:sz w:val="22"/>
                <w:szCs w:val="22"/>
              </w:rPr>
              <w:t>وتحت قيادته حصل برنامج السكتة الدماغية في القسم على اعتماد الجمعية الألمانية للسكتة الدماغية، ونال المستشفى اعتماده مركزاً للتصلب المتعدد من لجنة الشرق الأوسط وشمال أفريقيا لعلاج وأبحاث التصلب المتعدد،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spacing w:after="0"/>
            </w:pPr>
            <w:r>
              <w:rPr>
                <w:rFonts w:ascii="Dubai" w:hAnsi="Dubai" w:cs="Dubai"/>
                <w:b w:val="0"/>
                <w:sz w:val="22"/>
                <w:szCs w:val="22"/>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spacing w:after="0"/>
            </w:pPr>
            <w:r>
              <w:rPr>
                <w:rFonts w:ascii="Dubai" w:hAnsi="Dubai" w:cs="Dubai"/>
                <w:b w:val="0"/>
                <w:sz w:val="22"/>
                <w:szCs w:val="22"/>
              </w:rPr>
              <w:t>وهو عضو في الهيئة التدريسية الأساسية لبرنامج الإقامة في طب الأعصاب بمستشفى راشد، ونائب رئيس الجمعية الإماراتية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spacing w:after="0"/>
            </w:pPr>
            <w:r>
              <w:rPr>
                <w:rFonts w:ascii="Dubai" w:hAnsi="Dubai" w:cs="Dubai"/>
                <w:b w:val="0"/>
                <w:sz w:val="22"/>
                <w:szCs w:val="22"/>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spacing w:after="0"/>
            </w:pPr>
            <w:r>
              <w:rPr>
                <w:rFonts w:ascii="Dubai" w:hAnsi="Dubai" w:cs="Dubai"/>
                <w:b w:val="0"/>
                <w:sz w:val="22"/>
                <w:szCs w:val="22"/>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 وقد سلّمها له صاحب السمو الشيخ محمد بن زايد آل نهيان، رئيس الدولة.</w:t>
            </w:r>
          </w:p>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 presented by His Highness Sheikh Mohamed bin Zayed Al Nahyan, President of the UAE.</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«حياة»: تحويل التبرع بالأعضاء وزراعتها من خلال الابتكار الرقمي.</w:t>
            </w:r>
          </w:p>
        </w:tc>
        <w:tc>
          <w:tcPr>
            <w:tcW w:type="dxa" w:w="2592"/>
          </w:tcPr>
          <w:p>
            <w:pPr>
              <w:bidi/>
              <w:spacing w:after="0" w:before="0"/>
            </w:pPr>
            <w:r>
              <w:rPr>
                <w:rFonts w:ascii="Dubai" w:hAnsi="Dubai" w:cs="Dubai"/>
                <w:b w:val="0"/>
                <w:sz w:val="22"/>
                <w:szCs w:val="22"/>
                <w:rtl/>
              </w:rPr>
              <w:t>مبادرة وطنية على مستوى دولة الإمارات العربية المتحدة.</w:t>
            </w:r>
          </w:p>
        </w:tc>
        <w:tc>
          <w:tcPr>
            <w:tcW w:type="dxa" w:w="7488"/>
          </w:tcPr>
          <w:p>
            <w:pPr>
              <w:spacing w:after="0"/>
            </w:pPr>
            <w:r>
              <w:rPr>
                <w:rFonts w:ascii="Dubai" w:hAnsi="Dubai" w:cs="Dubai"/>
                <w:b w:val="0"/>
                <w:sz w:val="22"/>
                <w:szCs w:val="22"/>
              </w:rPr>
              <w:t>«حياة» مبادرة على مستوى دولة الإمارات العربية المتحدة تُعنى بتكامل منظومة التبرع بالأعضاء وزراعتها، عبر حوكمة منسّقة ومسارات سريرية موحّدة وأنظمة رقمية وتعاون بين مقدّمي الرعاية الصحية والجهات المعنية في مختلف الإمارات. وقد اعتبرت لجنة التحكيم أنّ تطبيق برنامج وطني موحّد عبر مؤسسات تتفاوت في مستوى نضجها الرقمي يمثّل إنجازاً كبيراً.</w:t>
            </w:r>
          </w:p>
          <w:p>
            <w:pPr>
              <w:spacing w:after="0"/>
            </w:pPr>
            <w:r>
              <w:rPr>
                <w:rFonts w:ascii="Dubai" w:hAnsi="Dubai" w:cs="Dubai"/>
                <w:b w:val="0"/>
                <w:sz w:val="22"/>
                <w:szCs w:val="22"/>
              </w:rPr>
              <w:t>ورفع البرنامج معدّل التبرع من المتوفين إلى نحو 14 متبرعاً لكل مليون نسمة، وجمع أكثر من 35 ألف تعهّد بالتبرع. ويستند إلى لوحات بيانات رقمية وتطوير للكوادر وضمان للجودة وتقدّم تنظيمي وتعاون دولي، ويشمل تدخّلات غير مشمولة بالتأمين بما يخدم عدالة الوصول إلى الرعاية.</w:t>
            </w:r>
          </w:p>
          <w:p>
            <w:pPr>
              <w:spacing w:after="0"/>
            </w:pPr>
            <w:r>
              <w:rPr>
                <w:rFonts w:ascii="Dubai" w:hAnsi="Dubai" w:cs="Dubai"/>
                <w:b w:val="0"/>
                <w:sz w:val="22"/>
                <w:szCs w:val="22"/>
              </w:rPr>
              <w:t>وسجّلت اللجنة أهمية «حياة» داخل دولة الإمارات وفي منطقة الشرق الأوسط وشمال أفريقيا، إلى جانب عنايته بالاعتبارات الأخلاقية وبأمن المعلومات في منصّته الرقمية، وإمكانات تطويره مستقبلاً بما في ذلك توظيف الذكاء الاصطناعي لتحسين الكفاءة التشغيلية. وقد نال 98 من 100 في مرحلة المقابلات و94.67 في المرحلة الأولى، وهو أعلى أداء في الجائزة.</w:t>
            </w:r>
          </w:p>
          <w:p>
            <w:pPr>
              <w:spacing w:after="0"/>
            </w:pPr>
            <w:r>
              <w:rPr>
                <w:rFonts w:ascii="Dubai" w:hAnsi="Dubai" w:cs="Dubai"/>
                <w:b w:val="0"/>
                <w:sz w:val="22"/>
                <w:szCs w:val="22"/>
              </w:rPr>
              <w:t>HAYAT is a UAE-wide initiative that integrates organ donation and transplantation through coordinated governance, standardised clinical pathways, digital systems, and collaboration among healthcare providers and authorities across the Emirates. Implementing a unified national programme across organisations at different levels of digital maturity was recognised by the jury as a substantial undertaking.</w:t>
            </w:r>
          </w:p>
          <w:p>
            <w:pPr>
              <w:spacing w:after="0"/>
            </w:pPr>
            <w:r>
              <w:rPr>
                <w:rFonts w:ascii="Dubai" w:hAnsi="Dubai" w:cs="Dubai"/>
                <w:b w:val="0"/>
                <w:sz w:val="22"/>
                <w:szCs w:val="22"/>
              </w:rPr>
              <w:t>The programme has raised the deceased-donor rate to nearly 14 per million population and gathered more than 35,000 donor pledges. It is supported by digital dashboards, workforce development, quality assurance, regulatory progress and international collaboration, and extends to interventions not covered by insurance, in the interest of equitable access.</w:t>
            </w:r>
          </w:p>
          <w:p>
            <w:pPr>
              <w:spacing w:after="0"/>
            </w:pPr>
            <w:r>
              <w:rPr>
                <w:rFonts w:ascii="Dubai" w:hAnsi="Dubai" w:cs="Dubai"/>
                <w:b w:val="0"/>
                <w:sz w:val="22"/>
                <w:szCs w:val="22"/>
              </w:rPr>
              <w:t>The jury recorded HAYAT's significance within the UAE and the wider MENA region, alongside its attention to ethical considerations and to the cybersecurity of its digital platform, and its potential for further development including the use of artificial intelligence to improve operational efficiency. It scored 98 out of 100 at interview stage and 94.67 in the first round, the strongest overall performance in the award.</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من الرؤية إلى الواقع: بناء مركز تميّز لعلاج الحروق في دولة الإمارات العربية المتحدة.</w:t>
            </w:r>
          </w:p>
        </w:tc>
        <w:tc>
          <w:tcPr>
            <w:tcW w:type="dxa" w:w="2592"/>
          </w:tcPr>
          <w:p>
            <w:pPr>
              <w:bidi/>
              <w:spacing w:after="0" w:before="0"/>
            </w:pPr>
            <w:r>
              <w:rPr>
                <w:rFonts w:ascii="Dubai" w:hAnsi="Dubai" w:cs="Dubai"/>
                <w:b w:val="0"/>
                <w:sz w:val="22"/>
                <w:szCs w:val="22"/>
                <w:rtl/>
              </w:rPr>
              <w:t>مدينة الشيخ شخبوط الطبية.</w:t>
            </w:r>
          </w:p>
        </w:tc>
        <w:tc>
          <w:tcPr>
            <w:tcW w:type="dxa" w:w="7488"/>
          </w:tcPr>
          <w:p>
            <w:pPr>
              <w:spacing w:after="0"/>
            </w:pPr>
            <w:r>
              <w:rPr>
                <w:rFonts w:ascii="Dubai" w:hAnsi="Dubai" w:cs="Dubai"/>
                <w:b w:val="0"/>
                <w:sz w:val="22"/>
                <w:szCs w:val="22"/>
              </w:rPr>
              <w:t>أنشأ مركز التميّز لعلاج الحروق في مدينة الشيخ شخبوط الطبية رعاية تخصصية منسّقة للحروق في دولة الإمارات العربية المتحدة، عبر مسار متعدد التخصصات يمتد من العلاج الطارئ والعناية المركّزة والجراحة المبكرة والعناية المتقدمة بالجروح، إلى إعادة التأهيل والدعم النفسي والاجتماعي وتنسيق الإحالات والمتابعة.</w:t>
            </w:r>
          </w:p>
          <w:p>
            <w:pPr>
              <w:spacing w:after="0"/>
            </w:pPr>
            <w:r>
              <w:rPr>
                <w:rFonts w:ascii="Dubai" w:hAnsi="Dubai" w:cs="Dubai"/>
                <w:b w:val="0"/>
                <w:sz w:val="22"/>
                <w:szCs w:val="22"/>
              </w:rPr>
              <w:t>وقد ارتفع عدد المرضى في المركز بنحو 40 بالمئة منذ الدورة السابقة للجائزة، وسجّل معدّل وفيات بلغ 1.4 بالمئة في عام 2025 و1.3 بالمئة في الفترة من يناير إلى أغسطس 2026، مع خروج 95 بالمئة من المرضى إلى منازلهم ومستويات رضا مرتفعة عن العلاج وعن رعاية إعادة التأهيل. كما تدعم شراكة مع مؤسسة «معاً» علاج غير المؤمَّن عليهم، بما يوسّع الوصول إلى خدمة يصعب بلوغها لولا ذلك.</w:t>
            </w:r>
          </w:p>
          <w:p>
            <w:pPr>
              <w:spacing w:after="0"/>
            </w:pPr>
            <w:r>
              <w:rPr>
                <w:rFonts w:ascii="Dubai" w:hAnsi="Dubai" w:cs="Dubai"/>
                <w:b w:val="0"/>
                <w:sz w:val="22"/>
                <w:szCs w:val="22"/>
              </w:rPr>
              <w:t>ويعمل المركز على نيل اعتماد الجمعية الأمريكية للحروق المقرر في عام 2027، ويتطلّع إلى أن يكون مركزاً إقليمياً رائداً في علاج الحروق. وقد رأت لجنة التحكيم فيه تحوّلاً عالي القيمة في خدمة صحية، يحمل إمكانات كبيرة لأثر وطني متواصل.</w:t>
            </w:r>
          </w:p>
          <w:p>
            <w:pPr>
              <w:spacing w:after="0"/>
            </w:pPr>
            <w:r>
              <w:rPr>
                <w:rFonts w:ascii="Dubai" w:hAnsi="Dubai" w:cs="Dubai"/>
                <w:b w:val="0"/>
                <w:sz w:val="22"/>
                <w:szCs w:val="22"/>
              </w:rPr>
              <w:t>Sheikh Shakhbout Medical City's Burn Center of Excellence has built coordinated specialist burn care in the United Arab Emirates, along a multidisciplinary pathway spanning emergency treatment, intensive care, early surgery, advanced wound management, rehabilitation, psychosocial support, referral coordination and follow-up.</w:t>
            </w:r>
          </w:p>
          <w:p>
            <w:pPr>
              <w:spacing w:after="0"/>
            </w:pPr>
            <w:r>
              <w:rPr>
                <w:rFonts w:ascii="Dubai" w:hAnsi="Dubai" w:cs="Dubai"/>
                <w:b w:val="0"/>
                <w:sz w:val="22"/>
                <w:szCs w:val="22"/>
              </w:rPr>
              <w:t>The centre has grown patient numbers by approximately 40 percent since the previous award cycle, and reports a mortality rate of 1.4 percent in 2025 and 1.3 percent for January to August 2026, with 95 percent of patients discharged home and high satisfaction with both treatment and rehabilitation care. A partnership with Ma'an supports treatment for people without insurance, widening access to a service that is otherwise difficult to reach.</w:t>
            </w:r>
          </w:p>
          <w:p>
            <w:pPr>
              <w:spacing w:after="0"/>
            </w:pPr>
            <w:r>
              <w:rPr>
                <w:rFonts w:ascii="Dubai" w:hAnsi="Dubai" w:cs="Dubai"/>
                <w:b w:val="0"/>
                <w:sz w:val="22"/>
                <w:szCs w:val="22"/>
              </w:rPr>
              <w:t>The centre is working towards American Burn Association verification, planned for 2027, and aims to become a leading regional centre for burn care. The jury judged it a high-value transformation of a healthcare service, with substantial potential for continued national impact.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