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تطوير فحص تسلسل بالقراءات الطويلة قائم على أخذ العيّنات التكيّفي للفحص الجيني قبل الزواج.</w:t>
            </w:r>
          </w:p>
        </w:tc>
        <w:tc>
          <w:tcPr>
            <w:tcW w:type="dxa" w:w="2592"/>
          </w:tcPr>
          <w:p>
            <w:pPr>
              <w:bidi/>
              <w:spacing w:after="0" w:before="0"/>
            </w:pPr>
            <w:r>
              <w:rPr>
                <w:rFonts w:ascii="Dubai" w:hAnsi="Dubai" w:cs="Dubai"/>
                <w:b w:val="0"/>
                <w:sz w:val="22"/>
                <w:szCs w:val="22"/>
                <w:rtl/>
              </w:rPr>
            </w:r>
          </w:p>
        </w:tc>
        <w:tc>
          <w:tcPr>
            <w:tcW w:type="dxa" w:w="7488"/>
          </w:tcPr>
          <w:p>
            <w:pPr>
              <w:spacing w:after="0"/>
            </w:pPr>
            <w:r>
              <w:rPr>
                <w:rFonts w:ascii="Dubai" w:hAnsi="Dubai" w:cs="Dubai"/>
                <w:b w:val="0"/>
                <w:sz w:val="22"/>
                <w:szCs w:val="22"/>
              </w:rPr>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تعلّم عميق قابل للتفسير سريرياً للتنبؤ بإمراضية المتغيّرات المغلوطة في سرطان الثدي.</w:t>
            </w:r>
          </w:p>
        </w:tc>
        <w:tc>
          <w:tcPr>
            <w:tcW w:type="dxa" w:w="2592"/>
          </w:tcPr>
          <w:p>
            <w:pPr>
              <w:bidi/>
              <w:spacing w:after="0" w:before="0"/>
            </w:pPr>
            <w:r>
              <w:rPr>
                <w:rFonts w:ascii="Dubai" w:hAnsi="Dubai" w:cs="Dubai"/>
                <w:b w:val="0"/>
                <w:sz w:val="22"/>
                <w:szCs w:val="22"/>
                <w:rtl/>
              </w:rPr>
            </w:r>
          </w:p>
        </w:tc>
        <w:tc>
          <w:tcPr>
            <w:tcW w:type="dxa" w:w="7488"/>
          </w:tcPr>
          <w:p>
            <w:pPr>
              <w:spacing w:after="0"/>
            </w:pPr>
            <w:r>
              <w:rPr>
                <w:rFonts w:ascii="Dubai" w:hAnsi="Dubai" w:cs="Dubai"/>
                <w:b w:val="0"/>
                <w:sz w:val="22"/>
                <w:szCs w:val="22"/>
              </w:rPr>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نمذجة متلازمة درافيه وتصميم دواء بالحمض النووي الريبي المرسال يعكس النمط الظاهري الجزيئي في الخلايا العصبية المشتقة من الخلايا الجذعية المحفَّزة.</w:t>
            </w:r>
          </w:p>
        </w:tc>
        <w:tc>
          <w:tcPr>
            <w:tcW w:type="dxa" w:w="2592"/>
          </w:tcPr>
          <w:p>
            <w:pPr>
              <w:bidi/>
              <w:spacing w:after="0" w:before="0"/>
            </w:pPr>
            <w:r>
              <w:rPr>
                <w:rFonts w:ascii="Dubai" w:hAnsi="Dubai" w:cs="Dubai"/>
                <w:b w:val="0"/>
                <w:sz w:val="22"/>
                <w:szCs w:val="22"/>
                <w:rtl/>
              </w:rPr>
            </w:r>
          </w:p>
        </w:tc>
        <w:tc>
          <w:tcPr>
            <w:tcW w:type="dxa" w:w="7488"/>
          </w:tcPr>
          <w:p>
            <w:pPr>
              <w:spacing w:after="0"/>
            </w:pPr>
            <w:r>
              <w:rPr>
                <w:rFonts w:ascii="Dubai" w:hAnsi="Dubai" w:cs="Dubai"/>
                <w:b w:val="0"/>
                <w:sz w:val="22"/>
                <w:szCs w:val="22"/>
              </w:rPr>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 presented by His Highness Sheikh Mohamed bin Zayed Al Nahyan, President of the UAE.</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«حياة»: تحويل التبرع بالأعضاء وزراعتها من خلال الابتكار الرقمي.</w:t>
            </w:r>
          </w:p>
        </w:tc>
        <w:tc>
          <w:tcPr>
            <w:tcW w:type="dxa" w:w="2592"/>
          </w:tcPr>
          <w:p>
            <w:pPr>
              <w:bidi/>
              <w:spacing w:after="0" w:before="0"/>
            </w:pPr>
            <w:r>
              <w:rPr>
                <w:rFonts w:ascii="Dubai" w:hAnsi="Dubai" w:cs="Dubai"/>
                <w:b w:val="0"/>
                <w:sz w:val="22"/>
                <w:szCs w:val="22"/>
                <w:rtl/>
              </w:rPr>
              <w:t>مبادرة وطنية على مستوى دولة الإمارات العربية المتحدة.</w:t>
            </w:r>
          </w:p>
        </w:tc>
        <w:tc>
          <w:tcPr>
            <w:tcW w:type="dxa" w:w="7488"/>
          </w:tcPr>
          <w:p>
            <w:pPr>
              <w:spacing w:after="0"/>
            </w:pPr>
            <w:r>
              <w:rPr>
                <w:rFonts w:ascii="Dubai" w:hAnsi="Dubai" w:cs="Dubai"/>
                <w:b w:val="0"/>
                <w:sz w:val="22"/>
                <w:szCs w:val="22"/>
              </w:rPr>
              <w:t>HAYAT is a UAE-wide initiative that integrates organ donation and transplantation through coordinated governance, standardised clinical pathways, digital systems, and collaboration among healthcare providers and authorities across the Emirates. Implementing a unified national programme across organisations at different levels of digital maturity was recognised by the jury as a substantial undertaking.</w:t>
            </w:r>
          </w:p>
          <w:p>
            <w:pPr>
              <w:spacing w:after="0"/>
            </w:pPr>
            <w:r>
              <w:rPr>
                <w:rFonts w:ascii="Dubai" w:hAnsi="Dubai" w:cs="Dubai"/>
                <w:b w:val="0"/>
                <w:sz w:val="22"/>
                <w:szCs w:val="22"/>
              </w:rPr>
              <w:t>The programme has raised the deceased-donor rate to nearly 14 per million population and gathered more than 35,000 donor pledges. It is supported by digital dashboards, workforce development, quality assurance, regulatory progress and international collaboration, and extends to interventions not covered by insurance, in the interest of equitable access.</w:t>
            </w:r>
          </w:p>
          <w:p>
            <w:pPr>
              <w:spacing w:after="0"/>
            </w:pPr>
            <w:r>
              <w:rPr>
                <w:rFonts w:ascii="Dubai" w:hAnsi="Dubai" w:cs="Dubai"/>
                <w:b w:val="0"/>
                <w:sz w:val="22"/>
                <w:szCs w:val="22"/>
              </w:rPr>
              <w:t>The jury recorded HAYAT's significance within the UAE and the wider MENA region, alongside its attention to ethical considerations and to the cybersecurity of its digital platform, and its potential for further development including the use of artificial intelligence to improve operational efficiency. It scored 98 out of 100 at interview stage and 94.67 in the first round, the strongest overall performance in the award.</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من الرؤية إلى الواقع: بناء مركز تميّز لعلاج الحروق في دولة الإمارات العربية المتحدة.</w:t>
            </w:r>
          </w:p>
        </w:tc>
        <w:tc>
          <w:tcPr>
            <w:tcW w:type="dxa" w:w="2592"/>
          </w:tcPr>
          <w:p>
            <w:pPr>
              <w:bidi/>
              <w:spacing w:after="0" w:before="0"/>
            </w:pPr>
            <w:r>
              <w:rPr>
                <w:rFonts w:ascii="Dubai" w:hAnsi="Dubai" w:cs="Dubai"/>
                <w:b w:val="0"/>
                <w:sz w:val="22"/>
                <w:szCs w:val="22"/>
                <w:rtl/>
              </w:rPr>
              <w:t>مدينة الشيخ شخبوط الطبية.</w:t>
            </w:r>
          </w:p>
        </w:tc>
        <w:tc>
          <w:tcPr>
            <w:tcW w:type="dxa" w:w="7488"/>
          </w:tcPr>
          <w:p>
            <w:pPr>
              <w:spacing w:after="0"/>
            </w:pPr>
            <w:r>
              <w:rPr>
                <w:rFonts w:ascii="Dubai" w:hAnsi="Dubai" w:cs="Dubai"/>
                <w:b w:val="0"/>
                <w:sz w:val="22"/>
                <w:szCs w:val="22"/>
              </w:rPr>
              <w:t>Sheikh Shakhbout Medical City's Burn Center of Excellence has built coordinated specialist burn care in the United Arab Emirates, along a multidisciplinary pathway spanning emergency treatment, intensive care, early surgery, advanced wound management, rehabilitation, psychosocial support, referral coordination and follow-up.</w:t>
            </w:r>
          </w:p>
          <w:p>
            <w:pPr>
              <w:spacing w:after="0"/>
            </w:pPr>
            <w:r>
              <w:rPr>
                <w:rFonts w:ascii="Dubai" w:hAnsi="Dubai" w:cs="Dubai"/>
                <w:b w:val="0"/>
                <w:sz w:val="22"/>
                <w:szCs w:val="22"/>
              </w:rPr>
              <w:t>The centre has grown patient numbers by approximately 40 percent since the previous award cycle, and reports a mortality rate of 1.4 percent in 2025 and 1.3 percent for January to August 2026, with 95 percent of patients discharged home and high satisfaction with both treatment and rehabilitation care. A partnership with Ma'an supports treatment for people without insurance, widening access to a service that is otherwise difficult to reach.</w:t>
            </w:r>
          </w:p>
          <w:p>
            <w:pPr>
              <w:spacing w:after="0"/>
            </w:pPr>
            <w:r>
              <w:rPr>
                <w:rFonts w:ascii="Dubai" w:hAnsi="Dubai" w:cs="Dubai"/>
                <w:b w:val="0"/>
                <w:sz w:val="22"/>
                <w:szCs w:val="22"/>
              </w:rPr>
              <w:t>The centre is working towards American Burn Association verification, planned for 2027, and aims to become a leading regional centre for burn care. The jury judged it a high-value transformation of a healthcare service, with substantial potential for continued national impact.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