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bidi/>
              <w:spacing w:after="0" w:before="0"/>
            </w:pPr>
            <w:r>
              <w:rPr>
                <w:rFonts w:ascii="Dubai" w:hAnsi="Dubai" w:cs="Dubai"/>
                <w:b w:val="0"/>
                <w:sz w:val="22"/>
                <w:szCs w:val="22"/>
                <w:rtl/>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وجدت الدراسة أنّ هذا البروتين يتركّز على الحويصلات خارج الخلوية (الإكسوسومات) المستخلصة من مصل الدم لدى المصابين بالتصلب المتعدد الانتكاسي الهاجع، وأنّه يعكس نشاط المرض الحالي واحتمالات تطوّره مستقبلاً.</w:t>
            </w:r>
          </w:p>
          <w:p>
            <w:pPr>
              <w:bidi/>
              <w:spacing w:after="0" w:before="0"/>
            </w:pPr>
            <w:r>
              <w:rPr>
                <w:rFonts w:ascii="Dubai" w:hAnsi="Dubai" w:cs="Dubai"/>
                <w:b w:val="0"/>
                <w:sz w:val="22"/>
                <w:szCs w:val="22"/>
                <w:rtl/>
              </w:rPr>
              <w:t>وقاس الفريق البحثي مستويات هذا البروتين لدى ثلاث مجموعات: مجموعة قارنّا فيها أشخاصاً أصحّاء بمرضى مستقرّين وآخرين في طور نشاط المرض؛ ومجموعة جرت متابعتها قبل نوبات النشاط وأثناءها وبعدها؛ ومجموعة من المرضى حديثي التشخيص جرت متابعتهم على مدى ثلاث سنوات.</w:t>
            </w:r>
          </w:p>
          <w:p>
            <w:pPr>
              <w:bidi/>
              <w:spacing w:after="0" w:before="0"/>
            </w:pPr>
            <w:r>
              <w:rPr>
                <w:rFonts w:ascii="Dubai" w:hAnsi="Dubai" w:cs="Dubai"/>
                <w:b w:val="0"/>
                <w:sz w:val="22"/>
                <w:szCs w:val="22"/>
                <w:rtl/>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bidi/>
              <w:spacing w:after="0" w:before="0"/>
            </w:pPr>
            <w:r>
              <w:rPr>
                <w:rFonts w:ascii="Dubai" w:hAnsi="Dubai" w:cs="Dubai"/>
                <w:b w:val="0"/>
                <w:sz w:val="22"/>
                <w:szCs w:val="22"/>
                <w:rtl/>
              </w:rPr>
              <w:t>وتشير النتائج إلى أنّ هذا البروتين قد يصلح مؤشراً حيوياً ديناميكياً غير باضع لنشاط التصلب المتعدد، ذا قيمة في التنبؤ بمسار المرض.</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مرجع أولي للجينوم الشامل (البانجينوم) العربي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bidi/>
              <w:spacing w:after="0" w:before="0"/>
            </w:pPr>
            <w:r>
              <w:rPr>
                <w:rFonts w:ascii="Dubai" w:hAnsi="Dubai" w:cs="Dubai"/>
                <w:b w:val="0"/>
                <w:sz w:val="22"/>
                <w:szCs w:val="22"/>
                <w:rtl/>
              </w:rPr>
              <w:t>لطالما أغفلت المراجع الجينومية العالمية المعتمدة تمثيل الشعوب العربية. وقد بنت هذه الدراسة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bidi/>
              <w:spacing w:after="0" w:before="0"/>
            </w:pPr>
            <w:r>
              <w:rPr>
                <w:rFonts w:ascii="Dubai" w:hAnsi="Dubai" w:cs="Dubai"/>
                <w:b w:val="0"/>
                <w:sz w:val="22"/>
                <w:szCs w:val="22"/>
                <w:rtl/>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bidi/>
              <w:spacing w:after="0" w:before="0"/>
            </w:pPr>
            <w:r>
              <w:rPr>
                <w:rFonts w:ascii="Dubai" w:hAnsi="Dubai" w:cs="Dubai"/>
                <w:b w:val="0"/>
                <w:sz w:val="22"/>
                <w:szCs w:val="22"/>
                <w:rtl/>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bidi/>
              <w:spacing w:after="0" w:before="0"/>
            </w:pPr>
            <w:r>
              <w:rPr>
                <w:rFonts w:ascii="Dubai" w:hAnsi="Dubai" w:cs="Dubai"/>
                <w:b w:val="0"/>
                <w:sz w:val="22"/>
                <w:szCs w:val="22"/>
                <w:rtl/>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bidi/>
              <w:spacing w:after="0" w:before="0"/>
            </w:pPr>
            <w:r>
              <w:rPr>
                <w:rFonts w:ascii="Dubai" w:hAnsi="Dubai" w:cs="Dubai"/>
                <w:b w:val="0"/>
                <w:sz w:val="22"/>
                <w:szCs w:val="22"/>
                <w:rtl/>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bidi/>
              <w:spacing w:after="0" w:before="0"/>
            </w:pPr>
            <w:r>
              <w:rPr>
                <w:rFonts w:ascii="Dubai" w:hAnsi="Dubai" w:cs="Dubai"/>
                <w:b w:val="0"/>
                <w:sz w:val="22"/>
                <w:szCs w:val="22"/>
                <w:rtl/>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bidi/>
              <w:spacing w:after="0" w:before="0"/>
            </w:pPr>
            <w:r>
              <w:rPr>
                <w:rFonts w:ascii="Dubai" w:hAnsi="Dubai" w:cs="Dubai"/>
                <w:b w:val="0"/>
                <w:sz w:val="22"/>
                <w:szCs w:val="22"/>
                <w:rtl/>
              </w:rPr>
              <w:t>الدكتور أبوبكر عبدالرحمن شافي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bidi/>
              <w:spacing w:after="0" w:before="0"/>
            </w:pPr>
            <w:r>
              <w:rPr>
                <w:rFonts w:ascii="Dubai" w:hAnsi="Dubai" w:cs="Dubai"/>
                <w:b w:val="0"/>
                <w:sz w:val="22"/>
                <w:szCs w:val="22"/>
                <w:rtl/>
              </w:rPr>
              <w:t>وتحت قيادته حصل برنامج السكتة الدماغية في القسم على اعتماد الجمعية الألمانية للسكتة الدماغية، ونال المستشفى اعتماده مركزاً للتصلب المتعدد من منظمة MENACTRIMS،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bidi/>
              <w:spacing w:after="0" w:before="0"/>
            </w:pPr>
            <w:r>
              <w:rPr>
                <w:rFonts w:ascii="Dubai" w:hAnsi="Dubai" w:cs="Dubai"/>
                <w:b w:val="0"/>
                <w:sz w:val="22"/>
                <w:szCs w:val="22"/>
                <w:rtl/>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bidi/>
              <w:spacing w:after="0" w:before="0"/>
            </w:pPr>
            <w:r>
              <w:rPr>
                <w:rFonts w:ascii="Dubai" w:hAnsi="Dubai" w:cs="Dubai"/>
                <w:b w:val="0"/>
                <w:sz w:val="22"/>
                <w:szCs w:val="22"/>
                <w:rtl/>
              </w:rPr>
              <w:t>وهو عضو في الهيئة التدريسية الأساسية لبرنامج الإقامة في طب الأعصاب بمستشفى راشد، ونائب رئيس جمعية الإمارات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bidi/>
              <w:spacing w:after="0" w:before="0"/>
            </w:pPr>
            <w:r>
              <w:rPr>
                <w:rFonts w:ascii="Dubai" w:hAnsi="Dubai" w:cs="Dubai"/>
                <w:b w:val="0"/>
                <w:sz w:val="22"/>
                <w:szCs w:val="22"/>
                <w:rtl/>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bidi/>
              <w:spacing w:after="0" w:before="0"/>
            </w:pPr>
            <w:r>
              <w:rPr>
                <w:rFonts w:ascii="Dubai" w:hAnsi="Dubai" w:cs="Dubai"/>
                <w:b w:val="0"/>
                <w:sz w:val="22"/>
                <w:szCs w:val="22"/>
                <w:rtl/>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bidi/>
              <w:spacing w:after="0" w:before="0"/>
            </w:pPr>
            <w:r>
              <w:rPr>
                <w:rFonts w:ascii="Dubai" w:hAnsi="Dubai" w:cs="Dubai"/>
                <w:b w:val="0"/>
                <w:sz w:val="22"/>
                <w:szCs w:val="22"/>
                <w:rtl/>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