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الخارجية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تهمة للتصلب المتعدد (لبنان).</w:t>
            </w:r>
          </w:p>
        </w:tc>
        <w:tc>
          <w:tcPr>
            <w:tcW w:type="dxa" w:w="7488"/>
          </w:tcPr>
          <w:p>
            <w:pPr>
              <w:spacing w:after="0"/>
            </w:pPr>
            <w:r>
              <w:rPr>
                <w:rFonts w:ascii="Dubai" w:hAnsi="Dubai" w:cs="Dubai"/>
                <w:b w:val="0"/>
                <w:sz w:val="22"/>
                <w:szCs w:val="22"/>
              </w:rPr>
              <w:t>Multiple sclerosis (MS) is a disease in which the immune system attacks the protective covering of nerves in the brain and spinal cord. Its course is unpredictable: patients go through relapses, when symptoms flare, and long stretches of stability. Doctors have no simple blood test that tells them a relapse is coming or how aggressive a patient's disease is likely to become, and must rely largely on symptoms and repeated MRI scans.</w:t>
            </w:r>
          </w:p>
          <w:p>
            <w:pPr>
              <w:spacing w:after="0"/>
            </w:pPr>
            <w:r>
              <w:rPr>
                <w:rFonts w:ascii="Dubai" w:hAnsi="Dubai" w:cs="Dubai"/>
                <w:b w:val="0"/>
                <w:sz w:val="22"/>
                <w:szCs w:val="22"/>
              </w:rPr>
              <w:t>In our study, we examined a protein called pHERV-W ENV. It comes from an ancient virus whose genetic material became part of the human genome long ago, and it has long been suspected of playing a role in MS. We measured this protein on exosomes — tiny packages that cells release into the bloodstream — across three separate groups of patients: one comparing healthy people with stable and with active MS patients; one following patients before, during and after episodes of disease activity; and one tracking newly diagnosed patients over three years.</w:t>
            </w:r>
          </w:p>
          <w:p>
            <w:pPr>
              <w:spacing w:after="0"/>
            </w:pPr>
            <w:r>
              <w:rPr>
                <w:rFonts w:ascii="Dubai" w:hAnsi="Dubai" w:cs="Dubai"/>
                <w:b w:val="0"/>
                <w:sz w:val="22"/>
                <w:szCs w:val="22"/>
              </w:rPr>
              <w:t>We found that the protein rose while the disease was active and fell away afterwards, tracking the disease as it happened. Its levels rose alongside markers of Epstein-Barr virus activity, a virus long associated with MS, and we traced the protein mainly to two immune cell types, monocytes and B cells. Most importantly, patients whose levels were high at diagnosis went on to experience more relapses and more new lesions on MRI over the following three years, and lost their disease-free status sooner than others.</w:t>
            </w:r>
          </w:p>
          <w:p>
            <w:pPr>
              <w:spacing w:after="0"/>
            </w:pPr>
            <w:r>
              <w:rPr>
                <w:rFonts w:ascii="Dubai" w:hAnsi="Dubai" w:cs="Dubai"/>
                <w:b w:val="0"/>
                <w:sz w:val="22"/>
                <w:szCs w:val="22"/>
              </w:rPr>
              <w:t>Taken together, these results suggest that measuring pHERV-W ENV on exosomes could give physicians an early warning system for multiple sclerosis: a non-invasive blood test that reflects what the disease is doing now and indicates what it is likely to do next. That would allow treatment to be intensified for the patients who need it most, before irreversible damage accumulates.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مرجع أولي للجينوم الشامل (البانجينوم) العربي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The human genome reference that doctors and scientists use to interpret DNA was built largely from people of European ancestry. When a patient from an underrepresented population is sequenced, parts of their DNA have nothing meaningful to be compared against, and genuine differences are missed or misread. Arab populations have been among the least represented of all.</w:t>
            </w:r>
          </w:p>
          <w:p>
            <w:pPr>
              <w:spacing w:after="0"/>
            </w:pPr>
            <w:r>
              <w:rPr>
                <w:rFonts w:ascii="Dubai" w:hAnsi="Dubai" w:cs="Dubai"/>
                <w:b w:val="0"/>
                <w:sz w:val="22"/>
                <w:szCs w:val="22"/>
              </w:rPr>
              <w:t>In our study, we set out to close that gap by building the first Arab Pangenome Reference. Rather than a single genome, a pangenome combines many high-quality genomes into one reference that captures the range of variation within a population. We sequenced 53 individuals of diverse Arab backgrounds in the UAE using long-read technology, and carried out every stage of the work — from sequencing through bioinformatics —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more than 110 million base pairs of DNA sequence absent from existing global references, along with nearly nine million small genetic differences and over 235,000 larger structural differences not previously reported. Among the discoveries was a duplicated gene, TAF11L5, found commonly in the Arab individuals we studied yet absent from global references entirely. It may play a role in regulating other genes, with implications for understanding disease risk and why individuals respond differently to treatment.</w:t>
            </w:r>
          </w:p>
          <w:p>
            <w:pPr>
              <w:spacing w:after="0"/>
            </w:pPr>
            <w:r>
              <w:rPr>
                <w:rFonts w:ascii="Dubai" w:hAnsi="Dubai" w:cs="Dubai"/>
                <w:b w:val="0"/>
                <w:sz w:val="22"/>
                <w:szCs w:val="22"/>
              </w:rPr>
              <w:t>To make this analysis possible we also developed PanScan, a bioinformatics tool that detects gene duplications, novel sequences and complex genomic structures within pangenomes. We released it publicly so that researchers building references for their own populations can use it.</w:t>
            </w:r>
          </w:p>
          <w:p>
            <w:pPr>
              <w:spacing w:after="0"/>
            </w:pPr>
            <w:r>
              <w:rPr>
                <w:rFonts w:ascii="Dubai" w:hAnsi="Dubai" w:cs="Dubai"/>
                <w:b w:val="0"/>
                <w:sz w:val="22"/>
                <w:szCs w:val="22"/>
              </w:rPr>
              <w:t>The study was published in Nature Communications and supports the UAE's National Genome Strategy. Its value is practical: a population-specific reference makes genetic diagnosis more accurate, and allows biomarkers, risk models and therapeutic targets to be developed from data that genuinely reflects the people they are meant to serve.</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مركز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has spent his career building the field of genomics in the Arab world, and much of what exists in Qatar today was established under his hand. He graduated top of his country in 2001 and chose genetics at a time when the discipline was widely seen as offering little career prospect in the Gulf. He completed his undergraduate studies at the University of Chicago, his master's and doctorate at Yale University on full scholarships, and post-doctoral training at Weill Cornell Medicine, where he watched the Yale Genome Center take shape and recognised what next-generation sequencing would one day mean for patients in his own region.</w:t>
            </w:r>
          </w:p>
          <w:p>
            <w:pPr>
              <w:spacing w:after="0"/>
            </w:pPr>
            <w:r>
              <w:rPr>
                <w:rFonts w:ascii="Dubai" w:hAnsi="Dubai" w:cs="Dubai"/>
                <w:b w:val="0"/>
                <w:sz w:val="22"/>
                <w:szCs w:val="22"/>
              </w:rPr>
              <w:t>He returned to a country whose genomic research infrastructure was, in his own description, rudimentary. With a small team he spent years building the foundations — recruiting physicians, identifying families, and establishing sequencing and computational pipelines from scratch. By late 2016 more than 2,000 individuals had been sequenced, producing discoveries that drew global attention to Arab genomics. Among them were the identification of an indigenous founder Arab population descended from the earliest human migrations out of Africa, which reached the cover of Genome Research; the first high-resolution mapping of population structure across the Gulf; and the first assessment of how reference bias distorts genome interpretation for Arab patients, showing that a substantial share of so-called variant alleles are in fact the norm in Qataris, including roughly 200 wrongly catalogued as disease-causing.</w:t>
            </w:r>
          </w:p>
          <w:p>
            <w:pPr>
              <w:spacing w:after="0"/>
            </w:pPr>
            <w:r>
              <w:rPr>
                <w:rFonts w:ascii="Dubai" w:hAnsi="Dubai" w:cs="Dubai"/>
                <w:b w:val="0"/>
                <w:sz w:val="22"/>
                <w:szCs w:val="22"/>
              </w:rPr>
              <w:t>In 2014 he was appointed lead consultant to the Qatar Genome Program, the region's first national sequencing programme, and authored the strategy that established a national sequencing capability. As inaugural Director of Human Genetics and now Chief Research Officer at Sidra Medicine, he launched Qatar's first point-of-care whole genome sequencing service for children with rare disease, reaching a diagnostic rate of around 60 percent where conventional testing had failed, and established the region's largest autism bio-resource.</w:t>
            </w:r>
          </w:p>
          <w:p>
            <w:pPr>
              <w:spacing w:after="0"/>
            </w:pPr>
            <w:r>
              <w:rPr>
                <w:rFonts w:ascii="Dubai" w:hAnsi="Dubai" w:cs="Dubai"/>
                <w:b w:val="0"/>
                <w:sz w:val="22"/>
                <w:szCs w:val="22"/>
              </w:rPr>
              <w:t>Open data has been a principle throughout: his teams have contributed more than 1,000 Qatari exomes and genomes to the public domain, the largest Arab genome submission of its kind. He has built the training pathways to sustain the field, including accredited graduate programmes in genetic counselling and in genomics and precision medicine, ensuring the next generation of Arab geneticists is trained at home.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has led the Department of Neurology at Rashid Hospital since 2011, and over more than fifteen years of national service has built what is today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clinical leadership the department has delivered a series of milestones of national significance. He co-developed the hospital's stroke programme to German Stroke Society accreditation, led the accreditation of Rashid Hospital as a MENACTRIMS Multiple Sclerosis Centre, and oversaw the commissioning of the 18-bed Neurology and Stroke Unit inaugurated in 2019. He has built a multidisciplinary team that maintains disease registries in multiple sclerosis, dementia, neuropathy, headache, movement disorders and epilepsy, alongside specialised clinics in neuromuscular medicine, botulinum toxin therapy, baclofen pump management and deep-brain-stimulation programming.</w:t>
            </w:r>
          </w:p>
          <w:p>
            <w:pPr>
              <w:spacing w:after="0"/>
            </w:pPr>
            <w:r>
              <w:rPr>
                <w:rFonts w:ascii="Dubai" w:hAnsi="Dubai" w:cs="Dubai"/>
                <w:b w:val="0"/>
                <w:sz w:val="22"/>
                <w:szCs w:val="22"/>
              </w:rPr>
              <w:t>One of his interventions illustrates his approach particularly well. He founded Dubai Health's multidisciplinary headache service and extended specialist care outward into primary health centres at Al Barsha and Nad Al Hamar. Uptake of specialist referral rose from roughly five percent to nearly fifty, with patient satisfaction between 80 and 90 percent — a measurable improvement in what ordinary patients actually receive.</w:t>
            </w:r>
          </w:p>
          <w:p>
            <w:pPr>
              <w:spacing w:after="0"/>
            </w:pPr>
            <w:r>
              <w:rPr>
                <w:rFonts w:ascii="Dubai" w:hAnsi="Dubai" w:cs="Dubai"/>
                <w:b w:val="0"/>
                <w:sz w:val="22"/>
                <w:szCs w:val="22"/>
              </w:rPr>
              <w:t>As an educator he is core faculty of the Rashid Hospital neurology residency programme and Professor of Neurology at Mohammed Bin Rashid University of Medicine and Health Sciences, training the Emirati neurologists who will carry the standard forward. He has authored more than 40 peer-reviewed publications, and has contributed as reviewer or co-author to the UAE's first national multiple sclerosis treatment guidelines, now integrated into the Dubai Health Authority's Ejadah Programme, to the UAE Alzheimer's disease national framework, and to Saudi consensus guidelines on myasthenia gravis.</w:t>
            </w:r>
          </w:p>
          <w:p>
            <w:pPr>
              <w:spacing w:after="0"/>
            </w:pPr>
            <w:r>
              <w:rPr>
                <w:rFonts w:ascii="Dubai" w:hAnsi="Dubai" w:cs="Dubai"/>
                <w:b w:val="0"/>
                <w:sz w:val="22"/>
                <w:szCs w:val="22"/>
              </w:rPr>
              <w:t>As Vice President of the Emirates Neurology Society he served as Congress President of the 3rd Dubai Neurology Congress and chaired a virtual congress convening more than 16,500 delegates worldwide. He led the first Gulf application of the European Migraine and Headache Alliance access-to-care methodology, and represents the UAE within the European Headache Federation and the World Federation of Neurology.</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الشامسي</w:t>
            </w:r>
          </w:p>
        </w:tc>
        <w:tc>
          <w:tcPr>
            <w:tcW w:type="dxa" w:w="2592"/>
          </w:tcPr>
          <w:p>
            <w:pPr>
              <w:bidi/>
              <w:spacing w:after="0" w:before="0"/>
            </w:pPr>
            <w:r>
              <w:rPr>
                <w:rFonts w:ascii="Dubai" w:hAnsi="Dubai" w:cs="Dubai"/>
                <w:b w:val="0"/>
                <w:sz w:val="22"/>
                <w:szCs w:val="22"/>
                <w:rtl/>
              </w:rPr>
              <w:t>الرئيس التنفيذي لمعهد برجيل للسرطان، ورئيس جمعية الإمارات للأورام.</w:t>
            </w:r>
          </w:p>
        </w:tc>
        <w:tc>
          <w:tcPr>
            <w:tcW w:type="dxa" w:w="7488"/>
          </w:tcPr>
          <w:p>
            <w:pPr>
              <w:spacing w:after="0"/>
            </w:pPr>
            <w:r>
              <w:rPr>
                <w:rFonts w:ascii="Dubai" w:hAnsi="Dubai" w:cs="Dubai"/>
                <w:b w:val="0"/>
                <w:sz w:val="22"/>
                <w:szCs w:val="22"/>
              </w:rPr>
              <w:t>Professor Humaid Obaid Al-Shamsi is Chief Executive Officer of Burjeel Cancer Institute and President of the Emirates Oncology Society. Across more than twenty years as a consultant oncologist he has worked to make cancer care in the United Arab Emirates both excellent and reachable.</w:t>
            </w:r>
          </w:p>
          <w:p>
            <w:pPr>
              <w:spacing w:after="0"/>
            </w:pPr>
            <w:r>
              <w:rPr>
                <w:rFonts w:ascii="Dubai" w:hAnsi="Dubai" w:cs="Dubai"/>
                <w:b w:val="0"/>
                <w:sz w:val="22"/>
                <w:szCs w:val="22"/>
              </w:rPr>
              <w:t>Since 2020 he has led the establishment of the country's largest comprehensive cancer network, with centres in Abu Dhabi, Sharjah, Al Ain and Al Ruwais, bringing specialised treatment closer to where patients live and removing the travel burden that once accompanied a diagnosis. He secured the first and only ESMO accreditation held by a cancer centre in the UAE, and established the nation's foremost comprehensive bone marrow transplant unit, which has completed 160 transplants — more than 50 of them provided free of charge to international patients of twenty nationalities. Much of that work was accomplished during the peak of the COVID-19 pandemic, when international travel was closed to patients who would otherwise have had nowhere to go. He provides free consultations to uninsured patients and works with charitable organisations so that support reaches patients irrespective of where they are treated.</w:t>
            </w:r>
          </w:p>
          <w:p>
            <w:pPr>
              <w:spacing w:after="0"/>
            </w:pPr>
            <w:r>
              <w:rPr>
                <w:rFonts w:ascii="Dubai" w:hAnsi="Dubai" w:cs="Dubai"/>
                <w:b w:val="0"/>
                <w:sz w:val="22"/>
                <w:szCs w:val="22"/>
              </w:rPr>
              <w:t>He has shaped national policy as much as institutional practice. Working with the Dubai Health Authority he contributed to advanced oncology care standards rolled out nationally in 2024; through the Emirates Oncology Society and the Ministry of Health and Prevention he helped develop the UAE's National Guideline for Lung Cancer Screening and Diagnosis; and he contributed to the establishment of the National Multidisciplinary Committee for Cancer Case Assessment under Ministerial Decree No. 20 of 2025.</w:t>
            </w:r>
          </w:p>
          <w:p>
            <w:pPr>
              <w:spacing w:after="0"/>
            </w:pPr>
            <w:r>
              <w:rPr>
                <w:rFonts w:ascii="Dubai" w:hAnsi="Dubai" w:cs="Dubai"/>
                <w:b w:val="0"/>
                <w:sz w:val="22"/>
                <w:szCs w:val="22"/>
              </w:rPr>
              <w:t>As an educator he established the first haematology and oncology fellowship programme in the country's history and chairs the fellowship committee at the National Institute for Health Specialties. He holds professorships at the University of Sharjah and RAK Medical and Health Sciences University, and international appointments as Visiting Professor at Harvard Medical School and Visiting Scientist at the Dana-Farber Cancer Institute. He has published more than 200 peer-reviewed papers and edited the most widely downloaded medical book in the MENA region, released free of charge and downloaded more than 650,000 times, followed by volumes on cancer care and on healthcare in the UAE with a further 600,000 downloads between them.</w:t>
            </w:r>
          </w:p>
          <w:p>
            <w:pPr>
              <w:spacing w:after="0"/>
            </w:pPr>
            <w:r>
              <w:rPr>
                <w:rFonts w:ascii="Dubai" w:hAnsi="Dubai" w:cs="Dubai"/>
                <w:b w:val="0"/>
                <w:sz w:val="22"/>
                <w:szCs w:val="22"/>
              </w:rPr>
              <w:t>He is among the most widely followed oncologists in the world, using that reach to promote early detection and to raise acceptance of cancer screening across Emirati society. In February 2025 he received the Sheikha Fatima bint Mubarak Award for Excellence and Community Intelligence in the Distinguished Personality category, presented by His Highness Sheikh Mohamed bin Zayed Al Nahyan.</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