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jc w:val="center"/>
      </w:pPr>
      <w:r>
        <w:rPr>
          <w:rFonts w:ascii="Dubai" w:hAnsi="Dubai" w:cs="Dubai"/>
          <w:b/>
          <w:sz w:val="30"/>
          <w:szCs w:val="30"/>
          <w:bCs/>
          <w:rtl/>
        </w:rPr>
        <w:t>كشف الفائزين للجوائز الطبية 2026</w:t>
      </w:r>
    </w:p>
    <w:p>
      <w:pPr>
        <w:bidi/>
        <w:spacing w:after="0" w:before="0"/>
      </w:pPr>
    </w:p>
    <w:p>
      <w:pPr>
        <w:bidi/>
        <w:spacing w:after="0" w:before="0"/>
        <w:jc w:val="center"/>
        <w:shd w:val="clear" w:color="auto" w:fill="B99664"/>
      </w:pPr>
      <w:r>
        <w:rPr>
          <w:rFonts w:ascii="Dubai" w:hAnsi="Dubai" w:cs="Dubai"/>
          <w:b/>
          <w:color w:val="FFFFFF"/>
          <w:sz w:val="26"/>
          <w:szCs w:val="26"/>
          <w:bCs/>
          <w:rtl/>
        </w:rPr>
        <w:t>أولاً: جوائز العالم العربي</w:t>
      </w:r>
    </w:p>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الجائزة العربية للأبحاث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بروتين pHERV-W ENV في الحويصلات خارج الخلوية كمؤشر حيوي ديناميكي للتنبؤ بالانتكاسات وتقييم مآل مرض التصلب المتعدد.</w:t>
            </w:r>
          </w:p>
        </w:tc>
        <w:tc>
          <w:tcPr>
            <w:tcW w:type="dxa" w:w="2592"/>
          </w:tcPr>
          <w:p>
            <w:pPr>
              <w:bidi/>
              <w:spacing w:after="0" w:before="0"/>
            </w:pPr>
            <w:r>
              <w:rPr>
                <w:rFonts w:ascii="Dubai" w:hAnsi="Dubai" w:cs="Dubai"/>
                <w:b w:val="0"/>
                <w:sz w:val="22"/>
                <w:szCs w:val="22"/>
                <w:rtl/>
              </w:rPr>
              <w:t>فريق بحثي من الجامعة الأمريكية في بيروت – مركز نعمة وتريز طعمة للتصلب المتعدد (لبنان).</w:t>
            </w:r>
          </w:p>
        </w:tc>
        <w:tc>
          <w:tcPr>
            <w:tcW w:type="dxa" w:w="7488"/>
          </w:tcPr>
          <w:p>
            <w:pPr>
              <w:bidi/>
              <w:spacing w:after="0" w:before="0"/>
            </w:pPr>
            <w:r>
              <w:rPr>
                <w:rFonts w:ascii="Dubai" w:hAnsi="Dubai" w:cs="Dubai"/>
                <w:b w:val="0"/>
                <w:sz w:val="22"/>
                <w:szCs w:val="22"/>
                <w:rtl/>
              </w:rPr>
              <w:t>يُعدّ البروتين الغلافي للفيروس القهقري الداخلي المنشأ من النوع W، المعروف اختصاراً بـ pHERV-W ENV، من العوامل المرتبطة بآلية نشوء التصلب المتعدد، غير أنّ فائدته السريرية كمؤشر حيوي لم تكن محددة بوضوح. وقد وجدت الدراسة أنّ هذا البروتين يتركّز على الحويصلات خارج الخلوية (الإكسوسومات) المستخلصة من مصل الدم لدى المصابين بالتصلب المتعدد متكرر الانتكاس والخمود، وأنّه يعكس نشاط المرض الحالي واحتمالات تطوّره مستقبلاً.</w:t>
            </w:r>
          </w:p>
          <w:p>
            <w:pPr>
              <w:bidi/>
              <w:spacing w:after="0" w:before="0"/>
            </w:pPr>
            <w:r>
              <w:rPr>
                <w:rFonts w:ascii="Dubai" w:hAnsi="Dubai" w:cs="Dubai"/>
                <w:b w:val="0"/>
                <w:sz w:val="22"/>
                <w:szCs w:val="22"/>
                <w:rtl/>
              </w:rPr>
              <w:t>وقاس الفريق البحثي مستويات هذا البروتين لدى ثلاث مجموعات: مجموعة قارنّا فيها أشخاصاً أصحّاء بمرضى مستقرّين وآخرين في طور نشاط المرض؛ ومجموعة جرت متابعتها قبل نوبات النشاط وأثناءها وبعدها؛ ومجموعة من المرضى حديثي التشخيص جرت متابعتهم على مدى ثلاث سنوات.</w:t>
            </w:r>
          </w:p>
          <w:p>
            <w:pPr>
              <w:bidi/>
              <w:spacing w:after="0" w:before="0"/>
            </w:pPr>
            <w:r>
              <w:rPr>
                <w:rFonts w:ascii="Dubai" w:hAnsi="Dubai" w:cs="Dubai"/>
                <w:b w:val="0"/>
                <w:sz w:val="22"/>
                <w:szCs w:val="22"/>
                <w:rtl/>
              </w:rPr>
              <w:t>ارتفعت المستويات خلال نشاط المرض ثم تراجعت عند المتابعة، وارتبطت بتعبير بروتين LMP2A المشتق من فيروس إبشتاين-بار، وتبيّن أنّ الخلايا الوحيدة والخلايا البائية هي المصدر الأساسي للبروتين في الدورة الدموية. أمّا المرضى الذين سجّلوا مستويات مرتفعة عند خط الأساس فقد شهدوا نشاطاً مرضياً أكبر — انتكاسات سريرية وآفات جديدة أو متوسّعة في التصوير بالرنين المغناطيسي — على مدى ثلاث سنوات، وفقدوا حالة «انعدام الدليل على نشاط المرض» في وقت أبكر.</w:t>
            </w:r>
          </w:p>
          <w:p>
            <w:pPr>
              <w:bidi/>
              <w:spacing w:after="0" w:before="0"/>
            </w:pPr>
            <w:r>
              <w:rPr>
                <w:rFonts w:ascii="Dubai" w:hAnsi="Dubai" w:cs="Dubai"/>
                <w:b w:val="0"/>
                <w:sz w:val="22"/>
                <w:szCs w:val="22"/>
                <w:rtl/>
              </w:rPr>
              <w:t>وتشير النتائج إلى أنّ هذا البروتين قد يصلح مؤشراً حيوياً ديناميكياً غير جراحي لنشاط التصلب المتعدد، ذا قيمة في التنبؤ بمسار المرض.</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مسودة مرجع البانجينوم العربي المستند إلى بيانات من دولة الإمارات العربية المتحدة.</w:t>
            </w:r>
          </w:p>
        </w:tc>
        <w:tc>
          <w:tcPr>
            <w:tcW w:type="dxa" w:w="2592"/>
          </w:tcPr>
          <w:p>
            <w:pPr>
              <w:bidi/>
              <w:spacing w:after="0" w:before="0"/>
            </w:pPr>
            <w:r>
              <w:rPr>
                <w:rFonts w:ascii="Dubai" w:hAnsi="Dubai" w:cs="Dubai"/>
                <w:b w:val="0"/>
                <w:sz w:val="22"/>
                <w:szCs w:val="22"/>
                <w:rtl/>
              </w:rPr>
              <w:t>فريق بحثي من مركز علم الجينوم التطبيقي والانتقالي – جامعة محمد بن راشد للطب والعلوم الصحية، دبي الصحية.</w:t>
            </w:r>
          </w:p>
        </w:tc>
        <w:tc>
          <w:tcPr>
            <w:tcW w:type="dxa" w:w="7488"/>
          </w:tcPr>
          <w:p>
            <w:pPr>
              <w:bidi/>
              <w:spacing w:after="0" w:before="0"/>
            </w:pPr>
            <w:r>
              <w:rPr>
                <w:rFonts w:ascii="Dubai" w:hAnsi="Dubai" w:cs="Dubai"/>
                <w:b w:val="0"/>
                <w:sz w:val="22"/>
                <w:szCs w:val="22"/>
                <w:rtl/>
              </w:rPr>
              <w:t>لطالما أغفلت المراجع الجينومية العالمية المعتمدة تمثيل الشعوب العربية. وقد بنت هذه الدراسة أول مرجع جينومي عربي شامل، اعتماداً على تسلسل الحمض النووي عالي الجودة بتقنية القراءات الطويلة لـ53 شخصاً من خلفيات عربية متنوّعة في دولة الإمارات. وأُجريت جميع مراحل البحث داخل مركز علم الجينوم التطبيقي والانتقالي في جامعة محمد بن راشد للطب والعلوم الصحية، ذراع التعلّم والاكتشاف في «دبي الصحية»، بدءاً من التسلسل الجيني ووصولاً إلى تحليلات المعلوماتية الحيوية المتقدمة.</w:t>
            </w:r>
          </w:p>
          <w:p>
            <w:pPr>
              <w:bidi/>
              <w:spacing w:after="0" w:before="0"/>
            </w:pPr>
            <w:r>
              <w:rPr>
                <w:rFonts w:ascii="Dubai" w:hAnsi="Dubai" w:cs="Dubai"/>
                <w:b w:val="0"/>
                <w:sz w:val="22"/>
                <w:szCs w:val="22"/>
                <w:rtl/>
              </w:rPr>
              <w:t>وكشف المرجع عن أكثر من 110 ملايين زوج قاعدي من تسلسلات الحمض النووي لم تكن موثّقة من قبل، وقرابة تسعة ملايين متغيّر جيني صغير، وأكثر من 235 ألف متغيّر هيكلي كبير خاص بالشعوب العربية لم يسبق تسجيلها. ومن أبرز الاكتشافات الجين المكرّر (TAF11L5) الذي ظهر بكثافة لدى المشاركين العرب بينما لم يُسجّل وجوده في المراجع الجينومية العالمية، والذي قد يؤدي دوراً في تنظيم الجينات الأخرى، بما ينعكس على فهم المخاطر الصحية واستجابة الأفراد للعلاجات.</w:t>
            </w:r>
          </w:p>
          <w:p>
            <w:pPr>
              <w:bidi/>
              <w:spacing w:after="0" w:before="0"/>
            </w:pPr>
            <w:r>
              <w:rPr>
                <w:rFonts w:ascii="Dubai" w:hAnsi="Dubai" w:cs="Dubai"/>
                <w:b w:val="0"/>
                <w:sz w:val="22"/>
                <w:szCs w:val="22"/>
                <w:rtl/>
              </w:rPr>
              <w:t>كما أنتج المشروع أداة PanScan التي ترصد تكرارات الجينات والتغيّرات الجديدة في الحمض النووي والتراكيب الجينومية المعقّدة، وهي متاحة للباحثين على منصة GitHub. وقد نُشر المرجع في مجلة «نيتشر كوميونيكيشنز»، وهو يمكّن من تطوير المؤشرات الحيوية الخاصة بالسكان ونماذج المخاطر والأهداف العلاجية، ويدعم الاستراتيجية الوطنية للجينوم في دولة الإمارات.</w:t>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الجائزة العربية في العلوم الوراثية</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الأستاذ الدكتور خالد فخرو</w:t>
            </w:r>
          </w:p>
        </w:tc>
        <w:tc>
          <w:tcPr>
            <w:tcW w:type="dxa" w:w="2592"/>
          </w:tcPr>
          <w:p>
            <w:pPr>
              <w:bidi/>
              <w:spacing w:after="0" w:before="0"/>
            </w:pPr>
            <w:r>
              <w:rPr>
                <w:rFonts w:ascii="Dubai" w:hAnsi="Dubai" w:cs="Dubai"/>
                <w:b w:val="0"/>
                <w:sz w:val="22"/>
                <w:szCs w:val="22"/>
                <w:rtl/>
              </w:rPr>
              <w:t>الرئيس التنفيذي للأبحاث ورئيس برنامج الطب الدقيق في سدرة للطب، وأستاذ علم الجينوم والطب الدقيق بجامعة حمد بن خليفة (قطر).</w:t>
            </w:r>
          </w:p>
        </w:tc>
        <w:tc>
          <w:tcPr>
            <w:tcW w:type="dxa" w:w="7488"/>
          </w:tcPr>
          <w:p>
            <w:pPr>
              <w:bidi/>
              <w:spacing w:after="0" w:before="0"/>
            </w:pPr>
            <w:r>
              <w:rPr>
                <w:rFonts w:ascii="Dubai" w:hAnsi="Dubai" w:cs="Dubai"/>
                <w:b w:val="0"/>
                <w:sz w:val="22"/>
                <w:szCs w:val="22"/>
                <w:rtl/>
              </w:rPr>
              <w:t>تخرّج الدكتور خالد فخرو عام 2001 في طليعة دفعته على مستوى بلاده، واختار علم الوراثة في وقت كان يُنظر إليه فيه على أنّه تخصّص محدود الآفاق المهنية في دول مجلس التعاون الخليجي. نال درجة البكالوريوس من جامعة شيكاغو، ثم الماجستير والدكتوراه من جامعة ييل بمنح دراسية كاملة، وأتمّ تدريبه في كلية طب وايل كورنيل.</w:t>
            </w:r>
          </w:p>
          <w:p>
            <w:pPr>
              <w:bidi/>
              <w:spacing w:after="0" w:before="0"/>
            </w:pPr>
            <w:r>
              <w:rPr>
                <w:rFonts w:ascii="Dubai" w:hAnsi="Dubai" w:cs="Dubai"/>
                <w:b w:val="0"/>
                <w:sz w:val="22"/>
                <w:szCs w:val="22"/>
                <w:rtl/>
              </w:rPr>
              <w:t>عاد إلى قطر حيث كانت البنية التحتية للأبحاث الجينومية المحلية — على حدّ وصفه — بدائية. وبفريق صغير تمكّن من إجراء التسلسل الجيني لأكثر من 2000 شخص بحلول أواخر عام 2016. وشملت اكتشافات الفريق تحديد جماعة عربية مؤسِّسة أصيلة تنحدر من أقدم هجرات البشر خارج أفريقيا، وقد تصدّرت غلاف مجلة Genome Research في فبراير 2016، إضافة إلى أول دراسة لأثر الانحياز المرجعي لدى المرضى العرب، التي وجدت أنّ ما يقارب 15 بالمئة مما يُصنَّف «أليلات متغايرة» ينبغي اعتباره مرجعياً لدى القطريين، من بينها نحو 200 صُنِّفت خطأً على أنها مُمرِضة في قاعدة بيانات OMIM.</w:t>
            </w:r>
          </w:p>
          <w:p>
            <w:pPr>
              <w:bidi/>
              <w:spacing w:after="0" w:before="0"/>
            </w:pPr>
            <w:r>
              <w:rPr>
                <w:rFonts w:ascii="Dubai" w:hAnsi="Dubai" w:cs="Dubai"/>
                <w:b w:val="0"/>
                <w:sz w:val="22"/>
                <w:szCs w:val="22"/>
                <w:rtl/>
              </w:rPr>
              <w:t>وبتعيينه كبيراً للاستشاريين في برنامج قطر جينوم عام 2014، ثم مديراً مؤسِّساً لعلم الوراثة البشرية في سدرة للطب عام 2016، أسّس أول برنامج لتسلسل الجينوم الكامل عند نقطة الرعاية في قطر، وبلغ معدّل التشخيص فيه نحو 60 بالمئة، كما أنشأ أكبر مورد حيوي للتوحّد في المنطقة. وقد أسهمت فرقه بأكثر من 1000 إكسوم وجينوم قطري في النطاق العام، وهي أكبر مساهمة عربية بالجينومات في قاعدة بيانات عامة حتى تاريخه.</w:t>
            </w:r>
          </w:p>
        </w:tc>
      </w:tr>
    </w:tbl>
    <w:p>
      <w:pPr>
        <w:bidi/>
        <w:spacing w:after="0" w:before="0"/>
      </w:pPr>
    </w:p>
    <w:p>
      <w:pPr>
        <w:bidi/>
        <w:spacing w:after="0" w:before="0"/>
        <w:jc w:val="center"/>
        <w:shd w:val="clear" w:color="auto" w:fill="B99664"/>
      </w:pPr>
      <w:r>
        <w:rPr>
          <w:rFonts w:ascii="Dubai" w:hAnsi="Dubai" w:cs="Dubai"/>
          <w:b/>
          <w:color w:val="FFFFFF"/>
          <w:sz w:val="26"/>
          <w:szCs w:val="26"/>
          <w:bCs/>
          <w:rtl/>
        </w:rPr>
        <w:t>ثانياً: جوائز دولة الإمارات العربية المتحدة</w:t>
      </w:r>
    </w:p>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أفضل بحث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تطوير فحص تسلسل بالقراءات الطويلة قائم على أخذ العيّنات التكيّفي للفحص الجيني قبل الزواج.</w:t>
            </w:r>
          </w:p>
        </w:tc>
        <w:tc>
          <w:tcPr>
            <w:tcW w:type="dxa" w:w="2592"/>
          </w:tcPr>
          <w:p>
            <w:pPr>
              <w:bidi/>
              <w:spacing w:after="0" w:before="0"/>
            </w:pPr>
            <w:r>
              <w:rPr>
                <w:rFonts w:ascii="Dubai" w:hAnsi="Dubai" w:cs="Dubai"/>
                <w:b w:val="0"/>
                <w:sz w:val="22"/>
                <w:szCs w:val="22"/>
                <w:rtl/>
              </w:rPr>
              <w:t>خلود البلوشي – جامعة محمد بن راشد للطب والعلوم الصحية، وأخصائية مختبر وراثة بمدينة الشيخ خليفة الطبية.</w:t>
            </w:r>
          </w:p>
        </w:tc>
        <w:tc>
          <w:tcPr>
            <w:tcW w:type="dxa" w:w="7488"/>
          </w:tcPr>
          <w:p>
            <w:pPr>
              <w:bidi/>
              <w:spacing w:after="0" w:before="0"/>
            </w:pPr>
            <w:r>
              <w:rPr>
                <w:rFonts w:ascii="Dubai" w:hAnsi="Dubai" w:cs="Dubai"/>
                <w:b w:val="0"/>
                <w:sz w:val="22"/>
                <w:szCs w:val="22"/>
                <w:rtl/>
              </w:rPr>
              <w:t>تقرأ الفحوص الجينية المعتمدة في الفحص قبل الزواج الحمض النووي في أجزاء قصيرة جداً. وينجح ذلك في معظم الجينوم، غير أنّه يخفق على نحو متكرر في المناطق التي تتشابه فيها الجينات تشابهاً شديداً، ومنها الجينات المسؤولة عن الثلاسيميا وضمور العضلات الشوكي وفرط التنسّج الكظري الخلقي. وهذه تحديداً أكثر الحالات صلة بالفئات عالية الخطورة، ما يعني إغفال بعض الحاملين تماماً.</w:t>
            </w:r>
          </w:p>
          <w:p>
            <w:pPr>
              <w:bidi/>
              <w:spacing w:after="0" w:before="0"/>
            </w:pPr>
            <w:r>
              <w:rPr>
                <w:rFonts w:ascii="Dubai" w:hAnsi="Dubai" w:cs="Dubai"/>
                <w:b w:val="0"/>
                <w:sz w:val="22"/>
                <w:szCs w:val="22"/>
                <w:rtl/>
              </w:rPr>
              <w:t>طوّرت هذه الدراسة نمطاً جديداً من الفحص باستخدام تقنية التسلسل بالقراءات الطويلة من «أكسفورد نانوبور»، التي تقرأ مقاطع أطول بكثير من الحمض النووي دفعة واحدة، مقترنةً بأسلوب أخذ العيّنات التكيّفي الذي يقرّر فيه جهاز التسلسل آنياً أيّ المقاطع يقرأ وأيّها يستبعد، بما يتيح التركيز على 836 جيناً ذات صلة بالأمراض الوراثية دون أي خطوة إغناء كيميائية.</w:t>
            </w:r>
          </w:p>
          <w:p>
            <w:pPr>
              <w:bidi/>
              <w:spacing w:after="0" w:before="0"/>
            </w:pPr>
            <w:r>
              <w:rPr>
                <w:rFonts w:ascii="Dubai" w:hAnsi="Dubai" w:cs="Dubai"/>
                <w:b w:val="0"/>
                <w:sz w:val="22"/>
                <w:szCs w:val="22"/>
                <w:rtl/>
              </w:rPr>
              <w:t>وقد بُني الفحص وجرى تحسينه واختباره على 75 شخصاً لديهم متغيّرات جينية مؤكّدة سابقاً تشمل فئات مرضية متعددة، فكشف جميع أنواع المتغيّرات — الطفرات الصغيرة وإعادات الترتيب البنيوية والحذوف الكبيرة — بدقة كاملة، وحلّ مناطق جينية معقّدة تعجز عنها الفحوص المعتادة، ضمن مسار عمل واحد يُغني عن الفحوص التكميلية المنفصلة التي تستلزمها الممارسة السريرية اليوم.</w:t>
            </w:r>
          </w:p>
          <w:p>
            <w:pPr>
              <w:bidi/>
              <w:spacing w:after="0" w:before="0"/>
            </w:pPr>
            <w:r>
              <w:rPr>
                <w:rFonts w:ascii="Dubai" w:hAnsi="Dubai" w:cs="Dubai"/>
                <w:b w:val="0"/>
                <w:sz w:val="22"/>
                <w:szCs w:val="22"/>
                <w:rtl/>
              </w:rPr>
              <w:t>والنتيجة أداة فحص أسرع وأشمل قابلة للتوسّع على مستوى السكان، وقادرة على تقليص عدد الأزواج المعرّضين للخطر الذين تغفلهم برامج الفحص قبل الزواج.</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تعلّم عميق قابل للتفسير سريرياً للتنبؤ بإمراضية المتغيّرات المغلوطة في سرطان الثدي.</w:t>
            </w:r>
          </w:p>
        </w:tc>
        <w:tc>
          <w:tcPr>
            <w:tcW w:type="dxa" w:w="2592"/>
          </w:tcPr>
          <w:p>
            <w:pPr>
              <w:bidi/>
              <w:spacing w:after="0" w:before="0"/>
            </w:pPr>
            <w:r>
              <w:rPr>
                <w:rFonts w:ascii="Dubai" w:hAnsi="Dubai" w:cs="Dubai"/>
                <w:b w:val="0"/>
                <w:sz w:val="22"/>
                <w:szCs w:val="22"/>
                <w:rtl/>
              </w:rPr>
              <w:t>الدكتورة رهف أحمد – زميلة ما بعد الدكتوراه، جامعة الإمارات العربية المتحدة.</w:t>
            </w:r>
          </w:p>
        </w:tc>
        <w:tc>
          <w:tcPr>
            <w:tcW w:type="dxa" w:w="7488"/>
          </w:tcPr>
          <w:p>
            <w:pPr>
              <w:bidi/>
              <w:spacing w:after="0" w:before="0"/>
            </w:pPr>
            <w:r>
              <w:rPr>
                <w:rFonts w:ascii="Dubai" w:hAnsi="Dubai" w:cs="Dubai"/>
                <w:b w:val="0"/>
                <w:sz w:val="22"/>
                <w:szCs w:val="22"/>
                <w:rtl/>
              </w:rPr>
              <w:t>تحمل الجينات أحياناً تغيّرات دقيقة تُعرف بالمتغيّرات المغلوطة، يستبدل كلٌّ منها لبنة واحدة في البروتين. بعضها غير ضارّ البتّة، وبعضها يُعطّل عمل البروتين وقد يرفع خطر الإصابة بسرطان الثدي. والتمييز بينهما يستلزم عادةً تجارب مخبرية بطيئة ومكلفة، ولذلك يبقى كثير من المتغيّرات دون تصنيف، في منطقة رمادية لا تمنح الأطباء والمرضى جواباً واضحاً.</w:t>
            </w:r>
          </w:p>
          <w:p>
            <w:pPr>
              <w:bidi/>
              <w:spacing w:after="0" w:before="0"/>
            </w:pPr>
            <w:r>
              <w:rPr>
                <w:rFonts w:ascii="Dubai" w:hAnsi="Dubai" w:cs="Dubai"/>
                <w:b w:val="0"/>
                <w:sz w:val="22"/>
                <w:szCs w:val="22"/>
                <w:rtl/>
              </w:rPr>
              <w:t>وقد تساءلت هذه الدراسة عمّا إذا كان الذكاء الاصطناعي قادراً على المساعدة. فجُمعت عشرات الآلاف من المتغيّرات المعروفة سلفاً بكونها ضارّة أو غير ضارّة من قواعد بيانات جينية موثوقة، واستُخدمت في تدريب سبعة أنماط من نماذج التعلّم العميق. وتفوّق نموذجان منها، إذ صنّفا المتغيّرات تصنيفاً صحيحاً بنسبة تتجاوز 99 بالمئة.</w:t>
            </w:r>
          </w:p>
          <w:p>
            <w:pPr>
              <w:bidi/>
              <w:spacing w:after="0" w:before="0"/>
            </w:pPr>
            <w:r>
              <w:rPr>
                <w:rFonts w:ascii="Dubai" w:hAnsi="Dubai" w:cs="Dubai"/>
                <w:b w:val="0"/>
                <w:sz w:val="22"/>
                <w:szCs w:val="22"/>
                <w:rtl/>
              </w:rPr>
              <w:t>ولم تُعامَل النماذج بوصفها صندوقاً مغلقاً؛ فقد أظهرت أدوات تفسير القرارات أنّها تعتمد على مؤشرات يثق بها علماء الوراثة أصلاً، منها مدى ثبات جزء من الجين عبر الأنواع الحيّة على مرّ الزمن.</w:t>
            </w:r>
          </w:p>
          <w:p>
            <w:pPr>
              <w:bidi/>
              <w:spacing w:after="0" w:before="0"/>
            </w:pPr>
            <w:r>
              <w:rPr>
                <w:rFonts w:ascii="Dubai" w:hAnsi="Dubai" w:cs="Dubai"/>
                <w:b w:val="0"/>
                <w:sz w:val="22"/>
                <w:szCs w:val="22"/>
                <w:rtl/>
              </w:rPr>
              <w:t>ولهذا أثر مباشر في رعاية المرضى: فالأداة الدقيقة والقابلة للتفسير معاً أجدر بالثقة في العيادة. ويقدّم هذا العمل سبيلاً سريعاً ومنخفض الكلفة لفهم متغيّرات سرطان الثدي غير المحسومة، ويمكن تطبيق المنهج نفسه لاحقاً على أمراض وراثية أخرى.</w:t>
            </w:r>
          </w:p>
        </w:tc>
      </w:tr>
      <w:tr>
        <w:tc>
          <w:tcPr>
            <w:tcW w:type="dxa" w:w="648"/>
            <w:vAlign w:val="center"/>
          </w:tcPr>
          <w:p>
            <w:pPr>
              <w:bidi/>
              <w:spacing w:after="0" w:before="0"/>
              <w:jc w:val="center"/>
            </w:pPr>
            <w:r>
              <w:rPr>
                <w:rFonts w:ascii="Dubai" w:hAnsi="Dubai" w:cs="Dubai"/>
                <w:b w:val="0"/>
                <w:sz w:val="22"/>
                <w:szCs w:val="22"/>
                <w:rtl/>
              </w:rPr>
              <w:t>3</w:t>
            </w:r>
          </w:p>
        </w:tc>
        <w:tc>
          <w:tcPr>
            <w:tcW w:type="dxa" w:w="2736"/>
          </w:tcPr>
          <w:p>
            <w:pPr>
              <w:bidi/>
              <w:spacing w:after="0" w:before="0"/>
            </w:pPr>
            <w:r>
              <w:rPr>
                <w:rFonts w:ascii="Dubai" w:hAnsi="Dubai" w:cs="Dubai"/>
                <w:b w:val="0"/>
                <w:sz w:val="22"/>
                <w:szCs w:val="22"/>
                <w:rtl/>
              </w:rPr>
              <w:t>نمذجة متلازمة درافيه وتصميم دواء بالحمض النووي الريبي المرسال يعكس النمط الظاهري الجزيئي في الخلايا العصبية المشتقة من الخلايا الجذعية المحفَّزة.</w:t>
            </w:r>
          </w:p>
        </w:tc>
        <w:tc>
          <w:tcPr>
            <w:tcW w:type="dxa" w:w="2592"/>
          </w:tcPr>
          <w:p>
            <w:pPr>
              <w:bidi/>
              <w:spacing w:after="0" w:before="0"/>
            </w:pPr>
            <w:r>
              <w:rPr>
                <w:rFonts w:ascii="Dubai" w:hAnsi="Dubai" w:cs="Dubai"/>
                <w:b w:val="0"/>
                <w:sz w:val="22"/>
                <w:szCs w:val="22"/>
                <w:rtl/>
              </w:rPr>
              <w:t>نور كساجي – طالبة دكتوراه في العلوم الطبية الحيوية، جامعة محمد بن راشد للطب والعلوم الصحية.</w:t>
            </w:r>
          </w:p>
        </w:tc>
        <w:tc>
          <w:tcPr>
            <w:tcW w:type="dxa" w:w="7488"/>
          </w:tcPr>
          <w:p>
            <w:pPr>
              <w:bidi/>
              <w:spacing w:after="0" w:before="0"/>
            </w:pPr>
            <w:r>
              <w:rPr>
                <w:rFonts w:ascii="Dubai" w:hAnsi="Dubai" w:cs="Dubai"/>
                <w:b w:val="0"/>
                <w:sz w:val="22"/>
                <w:szCs w:val="22"/>
                <w:rtl/>
              </w:rPr>
              <w:t>متلازمة درافيه شكل شديد من الصرع يبدأ في مرحلة الرضاعة، وينشأ عن تغيّرات في جين يُعرف بـ SCN1A. ويعاني الأطفال المصابون بها نوبات متكررة يصعب ضبطها وتأخّراً في النمو، ويواجهون خطراً مرتفعاً للوفاة المبكرة. أمّا العلاج المتاح اليوم فمحدود ويقتصر غالباً على تخفيف الأعراض.</w:t>
            </w:r>
          </w:p>
          <w:p>
            <w:pPr>
              <w:bidi/>
              <w:spacing w:after="0" w:before="0"/>
            </w:pPr>
            <w:r>
              <w:rPr>
                <w:rFonts w:ascii="Dubai" w:hAnsi="Dubai" w:cs="Dubai"/>
                <w:b w:val="0"/>
                <w:sz w:val="22"/>
                <w:szCs w:val="22"/>
                <w:rtl/>
              </w:rPr>
              <w:t>حلّلت هذه الدراسة الحمض النووي لآلاف الأطفال المصابين باضطرابات النمو العصبي بحثاً عن التغيّرات التي قد تفسّر حالاتهم، مع التركيز على جين SCN1A. ولفهم أثر هذه التغيّرات في خلايا الدماغ، استعان الفريق بتقنيات متقدمة للخلايا الجذعية لإنشاء خلايا عصبية بشرية تحمل الطفرة في المختبر.</w:t>
            </w:r>
          </w:p>
          <w:p>
            <w:pPr>
              <w:bidi/>
              <w:spacing w:after="0" w:before="0"/>
            </w:pPr>
            <w:r>
              <w:rPr>
                <w:rFonts w:ascii="Dubai" w:hAnsi="Dubai" w:cs="Dubai"/>
                <w:b w:val="0"/>
                <w:sz w:val="22"/>
                <w:szCs w:val="22"/>
                <w:rtl/>
              </w:rPr>
              <w:t>وأظهرت هذه الخلايا النشاط الكهربائي غير الطبيعي والتغيّرات الجزيئية التي تُرى لدى المرضى، ودرس الفريق كيف أثّرت الطفرة في الجينات والبروتينات وأيض الخلية.</w:t>
            </w:r>
          </w:p>
          <w:p>
            <w:pPr>
              <w:bidi/>
              <w:spacing w:after="0" w:before="0"/>
            </w:pPr>
            <w:r>
              <w:rPr>
                <w:rFonts w:ascii="Dubai" w:hAnsi="Dubai" w:cs="Dubai"/>
                <w:b w:val="0"/>
                <w:sz w:val="22"/>
                <w:szCs w:val="22"/>
                <w:rtl/>
              </w:rPr>
              <w:t>ولاستكشاف علاج محتمل، اختبر الفريق استراتيجية جديدة: إسكات الجين المعطوب بقليلات النوكليوتيد المضادة للمعنى، وإعادة إدخال نسخة سليمة منه عبر ناقل مصمّم خصيصاً. وأظهر هذا النهج وعداً مبكراً في تصحيح الخلل الخلوي الناجم عن الطفرة.</w:t>
            </w:r>
          </w:p>
          <w:p>
            <w:pPr>
              <w:bidi/>
              <w:spacing w:after="0" w:before="0"/>
            </w:pPr>
            <w:r>
              <w:rPr>
                <w:rFonts w:ascii="Dubai" w:hAnsi="Dubai" w:cs="Dubai"/>
                <w:b w:val="0"/>
                <w:sz w:val="22"/>
                <w:szCs w:val="22"/>
                <w:rtl/>
              </w:rPr>
              <w:t>ولا يزال العمل جارياً، غير أنّه يقرّب العلاج الشخصي الموجّه إلى سبب متلازمة درافيه، لا إلى أعراضها، من العائلات المتأثرة بها.</w:t>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حمدان للمتميزين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الدكتور أبوبكر عبدالرحمن شافعي المدني</w:t>
            </w:r>
          </w:p>
        </w:tc>
        <w:tc>
          <w:tcPr>
            <w:tcW w:type="dxa" w:w="2592"/>
          </w:tcPr>
          <w:p>
            <w:pPr>
              <w:bidi/>
              <w:spacing w:after="0" w:before="0"/>
            </w:pPr>
            <w:r>
              <w:rPr>
                <w:rFonts w:ascii="Dubai" w:hAnsi="Dubai" w:cs="Dubai"/>
                <w:b w:val="0"/>
                <w:sz w:val="22"/>
                <w:szCs w:val="22"/>
                <w:rtl/>
              </w:rPr>
              <w:t>استشاري أمراض المخ والأعصاب ورئيس قسم طب الأعصاب بمستشفى راشد، وأستاذ طب الأعصاب بجامعة محمد بن راشد للطب والعلوم الصحية.</w:t>
            </w:r>
          </w:p>
        </w:tc>
        <w:tc>
          <w:tcPr>
            <w:tcW w:type="dxa" w:w="7488"/>
          </w:tcPr>
          <w:p>
            <w:pPr>
              <w:bidi/>
              <w:spacing w:after="0" w:before="0"/>
            </w:pPr>
            <w:r>
              <w:rPr>
                <w:rFonts w:ascii="Dubai" w:hAnsi="Dubai" w:cs="Dubai"/>
                <w:b w:val="0"/>
                <w:sz w:val="22"/>
                <w:szCs w:val="22"/>
                <w:rtl/>
              </w:rPr>
              <w:t>الدكتور أبوبكر عبدالرحمن شافعي المدني استشاري أمراض المخ والأعصاب ورئيس قسم طب الأعصاب بمستشفى راشد، وأستاذ طب الأعصاب بجامعة محمد بن راشد للطب والعلوم الصحية. وبقيادته للقسم منذ عام 2011، بنى أكبر خدمة لطب الأعصاب في دولة الإمارات العربية المتحدة، تُعنى بأكثر من 20 ألف مريض سنوياً عبر مستشفيات راشد ودبي ولطيفة.</w:t>
            </w:r>
          </w:p>
          <w:p>
            <w:pPr>
              <w:bidi/>
              <w:spacing w:after="0" w:before="0"/>
            </w:pPr>
            <w:r>
              <w:rPr>
                <w:rFonts w:ascii="Dubai" w:hAnsi="Dubai" w:cs="Dubai"/>
                <w:b w:val="0"/>
                <w:sz w:val="22"/>
                <w:szCs w:val="22"/>
                <w:rtl/>
              </w:rPr>
              <w:t>وتحت قيادته حصل برنامج السكتة الدماغية في القسم على اعتماد الجمعية الألمانية للسكتة الدماغية، ونال المستشفى اعتماده مركزاً للتصلب المتعدد من لجنة الشرق الأوسط وشمال أفريقيا لعلاج وأبحاث التصلب المتعدد، كما جرى تشغيل وحدة طب الأعصاب والسكتة الدماغية بسعة 18 سريراً التي افتُتحت عام 2019. ويحتفظ القسم بسجلات مرضية في التصلب المتعدد والخرف واعتلال الأعصاب والصداع واضطرابات الحركة والصرع، إلى جانب عيادات متخصصة في الطب العصبي العضلي والعلاج بتوكسين البوتولينوم وبرمجة التحفيز العميق للدماغ.</w:t>
            </w:r>
          </w:p>
          <w:p>
            <w:pPr>
              <w:bidi/>
              <w:spacing w:after="0" w:before="0"/>
            </w:pPr>
            <w:r>
              <w:rPr>
                <w:rFonts w:ascii="Dubai" w:hAnsi="Dubai" w:cs="Dubai"/>
                <w:b w:val="0"/>
                <w:sz w:val="22"/>
                <w:szCs w:val="22"/>
                <w:rtl/>
              </w:rPr>
              <w:t>وقد أسّس خدمة الصداع متعددة التخصصات في «دبي الصحية»، وأوصلها إلى مركزي البرشاء ونَد الحمر للرعاية الصحية الأولية؛ فارتفعت نسبة الإحالة إلى الاختصاصيين من نحو خمسة بالمئة إلى ما يقارب خمسين بالمئة، برضا المرضى بين 80 و90 بالمئة.</w:t>
            </w:r>
          </w:p>
          <w:p>
            <w:pPr>
              <w:bidi/>
              <w:spacing w:after="0" w:before="0"/>
            </w:pPr>
            <w:r>
              <w:rPr>
                <w:rFonts w:ascii="Dubai" w:hAnsi="Dubai" w:cs="Dubai"/>
                <w:b w:val="0"/>
                <w:sz w:val="22"/>
                <w:szCs w:val="22"/>
                <w:rtl/>
              </w:rPr>
              <w:t>وهو عضو في الهيئة التدريسية الأساسية لبرنامج الإقامة في طب الأعصاب بمستشفى راشد، ونائب رئيس الجمعية الإماراتية لطب الأعصاب، وله أكثر من 40 بحثاً محكّماً، وأسهم في أول إرشادات علاجية وطنية للتصلب المتعدد في دولة الإمارات — المعتمدة اليوم ضمن برنامج «إجادة» بهيئة الصحة بدبي — وفي الإطار الوطني لمرض الزهايمر في الدولة.</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الأستاذ الدكتور حميد عبيد بن حرمل الشامسي</w:t>
            </w:r>
          </w:p>
        </w:tc>
        <w:tc>
          <w:tcPr>
            <w:tcW w:type="dxa" w:w="2592"/>
          </w:tcPr>
          <w:p>
            <w:pPr>
              <w:bidi/>
              <w:spacing w:after="0" w:before="0"/>
            </w:pPr>
            <w:r>
              <w:rPr>
                <w:rFonts w:ascii="Dubai" w:hAnsi="Dubai" w:cs="Dubai"/>
                <w:b w:val="0"/>
                <w:sz w:val="22"/>
                <w:szCs w:val="22"/>
                <w:rtl/>
              </w:rPr>
              <w:t>الرئيس التنفيذي لمعهد برجيل للأورام، ورئيس جمعية الإمارات للأورام.</w:t>
            </w:r>
          </w:p>
        </w:tc>
        <w:tc>
          <w:tcPr>
            <w:tcW w:type="dxa" w:w="7488"/>
          </w:tcPr>
          <w:p>
            <w:pPr>
              <w:bidi/>
              <w:spacing w:after="0" w:before="0"/>
            </w:pPr>
            <w:r>
              <w:rPr>
                <w:rFonts w:ascii="Dubai" w:hAnsi="Dubai" w:cs="Dubai"/>
                <w:b w:val="0"/>
                <w:sz w:val="22"/>
                <w:szCs w:val="22"/>
                <w:rtl/>
              </w:rPr>
              <w:t>الأستاذ الدكتور حميد عبيد بن حرمل الشامسي هو الرئيس التنفيذي لمعهد برجيل للأورام ورئيس جمعية الإمارات للأورام، وله أكثر من 20 عاماً من الخبرة استشارياً في الأورام. ومنذ التحاقه بمجموعة برجيل القابضة في سبتمبر 2020 قاد تأسيس أكبر شبكة متكاملة لرعاية مرضى السرطان في دولة الإمارات، بمراكز في أبوظبي والشارقة والعين والرويس، بما قرّب الخدمات التخصصية من منازل المرضى. وهو يقدّم استشارات مجانية لمرضى السرطان غير المؤمَّن عليهم، ويعمل مع الجمعيات الخيرية ليصل الدعم إلى المرضى أينما تلقّوا علاجهم.</w:t>
            </w:r>
          </w:p>
          <w:p>
            <w:pPr>
              <w:bidi/>
              <w:spacing w:after="0" w:before="0"/>
            </w:pPr>
            <w:r>
              <w:rPr>
                <w:rFonts w:ascii="Dubai" w:hAnsi="Dubai" w:cs="Dubai"/>
                <w:b w:val="0"/>
                <w:sz w:val="22"/>
                <w:szCs w:val="22"/>
                <w:rtl/>
              </w:rPr>
              <w:t>وقد حصل على أول وحيد اعتماد من الجمعية الأوروبية لطب الأورام (ESMO) لمركز سرطان في دولة الإمارات، وأسّس أبرز وحدة متكاملة لزراعة نخاع العظم في الدولة، التي أجرت 160 عملية زراعة، أكثر من 50 منها مجاناً لمرضى دوليين من 20 جنسية، وتحقّق ذلك في ذروة جائحة كوفيد-19 حين كان السفر الدولي مقيّداً.</w:t>
            </w:r>
          </w:p>
          <w:p>
            <w:pPr>
              <w:bidi/>
              <w:spacing w:after="0" w:before="0"/>
            </w:pPr>
            <w:r>
              <w:rPr>
                <w:rFonts w:ascii="Dubai" w:hAnsi="Dubai" w:cs="Dubai"/>
                <w:b w:val="0"/>
                <w:sz w:val="22"/>
                <w:szCs w:val="22"/>
                <w:rtl/>
              </w:rPr>
              <w:t>وأسهم في التطبيق الوطني لمعايير الرعاية المتقدمة للأورام عام 2024، وفي الدليل الوطني للكشف المبكر عن سرطان الرئة وتشخيصه في الدولة، وفي اللجنة الوطنية متعددة التخصصات لتقييم حالات السرطان المُنشأة بموجب القرار الوزاري رقم (20) لعام 2025. كما أسّس أول برنامج زمالة في أمراض الدم والأورام في تاريخ الدولة، وهو بروفيسور زائر في كلية الطب بجامعة هارفارد. وفي فبراير 2025 نال جائزة برنامج سمو الشيخة فاطمة بنت مبارك للتميز والذكاء المجتمعي في فئة الشخصية المتميزة، وقد سلّمها له صاحب السمو الشيخ محمد بن زايد آل نهيان، رئيس الدولة.</w:t>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الابتكار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«حياة»: تحويل التبرع بالأعضاء وزراعتها من خلال الابتكار الرقمي.</w:t>
            </w:r>
          </w:p>
        </w:tc>
        <w:tc>
          <w:tcPr>
            <w:tcW w:type="dxa" w:w="2592"/>
          </w:tcPr>
          <w:p>
            <w:pPr>
              <w:bidi/>
              <w:spacing w:after="0" w:before="0"/>
            </w:pPr>
            <w:r>
              <w:rPr>
                <w:rFonts w:ascii="Dubai" w:hAnsi="Dubai" w:cs="Dubai"/>
                <w:b w:val="0"/>
                <w:sz w:val="22"/>
                <w:szCs w:val="22"/>
                <w:rtl/>
              </w:rPr>
              <w:t>وزارة الصحة ووقاية المجتمع – البرنامج الوطني للتبرع بالأعضاء والأنسجة وزراعتها «حياة».</w:t>
            </w:r>
          </w:p>
        </w:tc>
        <w:tc>
          <w:tcPr>
            <w:tcW w:type="dxa" w:w="7488"/>
          </w:tcPr>
          <w:p>
            <w:pPr>
              <w:bidi/>
              <w:spacing w:after="0" w:before="0"/>
            </w:pPr>
            <w:r>
              <w:rPr>
                <w:rFonts w:ascii="Dubai" w:hAnsi="Dubai" w:cs="Dubai"/>
                <w:b w:val="0"/>
                <w:sz w:val="22"/>
                <w:szCs w:val="22"/>
                <w:rtl/>
              </w:rPr>
              <w:t>«حياة» هو البرنامج الوطني للتبرع بالأعضاء والأنسجة وزراعتها في دولة الإمارات العربية المتحدة، أُنشئ برعاية وزارة الصحة ووقاية المجتمع ونُفّذ بالتعاون مع الجهات الصحية الاتحادية والمحلية والمستشفيات ومراكز الزراعة والمختبرات وشركاء المجتمع. وقد حوّل التبرع بالأعضاء وزراعتها من خدمة مجزّأة إلى منظومة وطنية منسّقة محورها المريض.</w:t>
            </w:r>
          </w:p>
          <w:p>
            <w:pPr>
              <w:bidi/>
              <w:spacing w:after="0" w:before="0"/>
            </w:pPr>
            <w:r>
              <w:rPr>
                <w:rFonts w:ascii="Dubai" w:hAnsi="Dubai" w:cs="Dubai"/>
                <w:b w:val="0"/>
                <w:sz w:val="22"/>
                <w:szCs w:val="22"/>
                <w:rtl/>
              </w:rPr>
              <w:t>وأبرز إنجازاته منظومة «حياة» الوطنية لتنسيق التبرع بالأعضاء وزراعتها، وهي الأولى من نوعها في المنطقة، إذ تجمع الحوكمة والتشريعات والمسارات السريرية والعمليات التشغيلية وتبادل المعلومات وإدارة الجودة والتواصل المجتمعي في إطار وطني واحد. وبدل الاكتفاء بنشاط الزراعة، أعاد البرنامج تصميم المسار بأكمله، فواءم بين مستشفيات المتبرعين ومراكز الزراعة ومختبرات التوافق النسيجي والجهات التنظيمية وشركاء المجتمع عبر مسارات سريرية موحّدة وآليات تخصيص شفافة.</w:t>
            </w:r>
          </w:p>
          <w:p>
            <w:pPr>
              <w:bidi/>
              <w:spacing w:after="0" w:before="0"/>
            </w:pPr>
            <w:r>
              <w:rPr>
                <w:rFonts w:ascii="Dubai" w:hAnsi="Dubai" w:cs="Dubai"/>
                <w:b w:val="0"/>
                <w:sz w:val="22"/>
                <w:szCs w:val="22"/>
                <w:rtl/>
              </w:rPr>
              <w:t>ورفع البرنامج معدّل التبرع من المتوفين إلى نحو 14 متبرعاً لكل مليون نسمة، وجمع أكثر من 35 ألف تعهّد بالتبرع، مستنداً إلى لوحات بيانات رقمية وتطوير للكوادر وضمان للجودة وتعاون دولي. ويشمل تدخّلات غير مشمولة بالتأمين بما يخدم عدالة الوصول إلى الرعاية.</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من الرؤية إلى الواقع: بناء مركز تميّز لعلاج الحروق في دولة الإمارات العربية المتحدة.</w:t>
            </w:r>
          </w:p>
        </w:tc>
        <w:tc>
          <w:tcPr>
            <w:tcW w:type="dxa" w:w="2592"/>
          </w:tcPr>
          <w:p>
            <w:pPr>
              <w:bidi/>
              <w:spacing w:after="0" w:before="0"/>
            </w:pPr>
            <w:r>
              <w:rPr>
                <w:rFonts w:ascii="Dubai" w:hAnsi="Dubai" w:cs="Dubai"/>
                <w:b w:val="0"/>
                <w:sz w:val="22"/>
                <w:szCs w:val="22"/>
                <w:rtl/>
              </w:rPr>
              <w:t>قسم الحروق – مدينة الشيخ شخبوط الطبية، أبوظبي.</w:t>
            </w:r>
          </w:p>
        </w:tc>
        <w:tc>
          <w:tcPr>
            <w:tcW w:type="dxa" w:w="7488"/>
          </w:tcPr>
          <w:p>
            <w:pPr>
              <w:bidi/>
              <w:spacing w:after="0" w:before="0"/>
            </w:pPr>
            <w:r>
              <w:rPr>
                <w:rFonts w:ascii="Dubai" w:hAnsi="Dubai" w:cs="Dubai"/>
                <w:b w:val="0"/>
                <w:sz w:val="22"/>
                <w:szCs w:val="22"/>
                <w:rtl/>
              </w:rPr>
              <w:t>مركز التميّز لعلاج الحروق في مدينة الشيخ شخبوط الطبية هو الأول في أبوظبي، وقد أُسّس حول هدف نيل اعتماد الجمعية الأمريكية للحروق، وحول نموذج متعدد التخصصات للرعاية التخصصية بالحروق في دولة الإمارات والمنطقة.</w:t>
            </w:r>
          </w:p>
          <w:p>
            <w:pPr>
              <w:bidi/>
              <w:spacing w:after="0" w:before="0"/>
            </w:pPr>
            <w:r>
              <w:rPr>
                <w:rFonts w:ascii="Dubai" w:hAnsi="Dubai" w:cs="Dubai"/>
                <w:b w:val="0"/>
                <w:sz w:val="22"/>
                <w:szCs w:val="22"/>
                <w:rtl/>
              </w:rPr>
              <w:t>وجمع المركز الرعاية تحت سقف واحد: بدائل الجلد المؤقتة المتقدمة، ومسارات سريرية موائمة لمعايير الجمعية الأمريكية للحروق، وإعادة تأهيل تخصصية، ودعم نفسي واجتماعي، ومسارات للتغطية المالية والدعم الخيري تلبّي حاجة الناجين من الحروق إلى رعاية طويلة الأمد. وأُعيدت هندسة المسارات التقليدية حول لوحات بيانات آنية للجودة، وأُعيد بناء ملاك الموظفين ليكون فريقاً متعدد المهارات قادراً على الجمع بين رعاية الحروق الحرجة وإعادة التأهيل المكثّف والدعم النفسي والاجتماعي. وأتاحت شراكات دولية برامج تدريب قائمة على المحاكاة مصمّمة لمتطلبات إصابات الحروق، كما أسهم المركز في إنشاء أول شبكة منسّقة لإحالة حالات الحروق في أبوظبي.</w:t>
            </w:r>
          </w:p>
          <w:p>
            <w:pPr>
              <w:bidi/>
              <w:spacing w:after="0" w:before="0"/>
            </w:pPr>
            <w:r>
              <w:rPr>
                <w:rFonts w:ascii="Dubai" w:hAnsi="Dubai" w:cs="Dubai"/>
                <w:b w:val="0"/>
                <w:sz w:val="22"/>
                <w:szCs w:val="22"/>
                <w:rtl/>
              </w:rPr>
              <w:t>وارتفع عدد المرضى بنحو 40 بالمئة، وسجّل المركز معدّل وفيات بلغ 1.4 بالمئة في عام 2025 و1.3 بالمئة في الفترة من يناير إلى أغسطس 2026، مع خروج 95 بالمئة من المرضى إلى منازلهم. وتدعم شراكة مع مؤسسة «معاً» علاج غير المؤمَّن عليهم. ومن المقرر نيل اعتماد الجمعية الأمريكية للحروق في عام 2027.</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