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جراحي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تطوير فحص تسلسل بالقراءات الطويلة قائم على أخذ العيّنات التكيّفي للفحص الجيني قبل الزواج.</w:t>
            </w:r>
          </w:p>
        </w:tc>
        <w:tc>
          <w:tcPr>
            <w:tcW w:type="dxa" w:w="2592"/>
          </w:tcPr>
          <w:p>
            <w:pPr>
              <w:bidi/>
              <w:spacing w:after="0" w:before="0"/>
            </w:pPr>
            <w:r>
              <w:rPr>
                <w:rFonts w:ascii="Dubai" w:hAnsi="Dubai" w:cs="Dubai"/>
                <w:b w:val="0"/>
                <w:sz w:val="22"/>
                <w:szCs w:val="22"/>
                <w:rtl/>
              </w:rPr>
              <w:t>خلود البلوشي – جامعة محمد بن راشد للطب والعلوم الصحية، وأخصائية مختبر وراثة بمدينة الشيخ خليفة الطبية.</w:t>
            </w:r>
          </w:p>
        </w:tc>
        <w:tc>
          <w:tcPr>
            <w:tcW w:type="dxa" w:w="7488"/>
          </w:tcPr>
          <w:p>
            <w:pPr>
              <w:spacing w:after="0"/>
            </w:pPr>
            <w:r>
              <w:rPr>
                <w:rFonts w:ascii="Dubai" w:hAnsi="Dubai" w:cs="Dubai"/>
                <w:b w:val="0"/>
                <w:sz w:val="22"/>
                <w:szCs w:val="22"/>
              </w:rPr>
              <w:t>تقرأ الفحوص الجينية المعتمدة في الفحص قبل الزواج الحمض النووي في أجزاء قصيرة جداً. وينجح ذلك في معظم الجينوم، غير أنّه يخفق على نحو متكرر في المناطق التي تتشابه فيها الجينات تشابهاً شديداً، ومنها الجينات المسؤولة عن الثلاسيميا وضمور العضلات الشوكي وفرط التنسّج الكظري الخلقي. وهذه تحديداً أكثر الحالات صلة بالفئات عالية الخطورة، ما يعني إغفال بعض الحاملين تماماً.</w:t>
            </w:r>
          </w:p>
          <w:p>
            <w:pPr>
              <w:spacing w:after="0"/>
            </w:pPr>
            <w:r>
              <w:rPr>
                <w:rFonts w:ascii="Dubai" w:hAnsi="Dubai" w:cs="Dubai"/>
                <w:b w:val="0"/>
                <w:sz w:val="22"/>
                <w:szCs w:val="22"/>
              </w:rPr>
              <w:t>طوّرت هذه الدراسة نمطاً جديداً من الفحص باستخدام تقنية التسلسل بالقراءات الطويلة من «أكسفورد نانوبور»، التي تقرأ مقاطع أطول بكثير من الحمض النووي دفعة واحدة، مقترنةً بأسلوب أخذ العيّنات التكيّفي الذي يقرّر فيه جهاز التسلسل آنياً أيّ المقاطع يقرأ وأيّها يستبعد، بما يتيح التركيز على 836 جيناً ذات صلة بالأمراض الوراثية دون أي خطوة إغناء كيميائية.</w:t>
            </w:r>
          </w:p>
          <w:p>
            <w:pPr>
              <w:spacing w:after="0"/>
            </w:pPr>
            <w:r>
              <w:rPr>
                <w:rFonts w:ascii="Dubai" w:hAnsi="Dubai" w:cs="Dubai"/>
                <w:b w:val="0"/>
                <w:sz w:val="22"/>
                <w:szCs w:val="22"/>
              </w:rPr>
              <w:t>وقد بُني الفحص وجرى تحسينه واختباره على 75 شخصاً لديهم متغيّرات جينية مؤكّدة سابقاً تشمل فئات مرضية متعددة، فكشف جميع أنواع المتغيّرات — الطفرات الصغيرة وإعادات الترتيب البنيوية والحذوف الكبيرة — بدقة كاملة، وحلّ مناطق جينية معقّدة تعجز عنها الفحوص المعتادة، ضمن مسار عمل واحد يُغني عن الفحوص التكميلية المنفصلة التي تستلزمها الممارسة السريرية اليوم.</w:t>
            </w:r>
          </w:p>
          <w:p>
            <w:pPr>
              <w:spacing w:after="0"/>
            </w:pPr>
            <w:r>
              <w:rPr>
                <w:rFonts w:ascii="Dubai" w:hAnsi="Dubai" w:cs="Dubai"/>
                <w:b w:val="0"/>
                <w:sz w:val="22"/>
                <w:szCs w:val="22"/>
              </w:rPr>
              <w:t>والنتيجة أداة فحص أسرع وأشمل قابلة للتوسّع على مستوى السكان، وقادرة على تقليص عدد الأزواج المعرّضين للخطر الذين تغفلهم برامج الفحص قبل الزواج.</w:t>
            </w:r>
          </w:p>
          <w:p>
            <w:pPr>
              <w:spacing w:after="0"/>
            </w:pPr>
            <w:r>
              <w:rPr>
                <w:rFonts w:ascii="Dubai" w:hAnsi="Dubai" w:cs="Dubai"/>
                <w:b w:val="0"/>
                <w:sz w:val="22"/>
                <w:szCs w:val="22"/>
              </w:rPr>
              <w:t>Standard genetic tests used in premarital screening read DNA in very short fragments. That works for most of the genome, but it fails consistently in regions where genes look almost identical to one another — among them the genes behind thalassemia, spinal muscular atrophy and congenital adrenal hyperplasia. Those are precisely the conditions most relevant to high-risk populations, so some carriers are missed entirely.</w:t>
            </w:r>
          </w:p>
          <w:p>
            <w:pPr>
              <w:spacing w:after="0"/>
            </w:pPr>
            <w:r>
              <w:rPr>
                <w:rFonts w:ascii="Dubai" w:hAnsi="Dubai" w:cs="Dubai"/>
                <w:b w:val="0"/>
                <w:sz w:val="22"/>
                <w:szCs w:val="22"/>
              </w:rPr>
              <w:t>This study developed a new form of testing using Oxford Nanopore long-read sequencing, which reads much longer stretches of DNA at once. It was combined with adaptive sampling, by which the sequencing machine decides in real time which fragments to read and which to discard, allowing it to focus on the 836 genes relevant to inherited disease without any physical enrichment step.</w:t>
            </w:r>
          </w:p>
          <w:p>
            <w:pPr>
              <w:spacing w:after="0"/>
            </w:pPr>
            <w:r>
              <w:rPr>
                <w:rFonts w:ascii="Dubai" w:hAnsi="Dubai" w:cs="Dubai"/>
                <w:b w:val="0"/>
                <w:sz w:val="22"/>
                <w:szCs w:val="22"/>
              </w:rPr>
              <w:t>The assay was built, optimised and tested on 75 individuals with previously confirmed genetic variants across several disease categories. It detected every variant type — small mutations, structural rearrangements and large deletions — with complete accuracy, and resolved complex gene regions that routinely defeat standard tests, in a single workflow that removes the need for the separate follow-up tests clinical practice currently requires.</w:t>
            </w:r>
          </w:p>
          <w:p>
            <w:pPr>
              <w:spacing w:after="0"/>
            </w:pPr>
            <w:r>
              <w:rPr>
                <w:rFonts w:ascii="Dubai" w:hAnsi="Dubai" w:cs="Dubai"/>
                <w:b w:val="0"/>
                <w:sz w:val="22"/>
                <w:szCs w:val="22"/>
              </w:rPr>
              <w:t>The result is a faster and more comprehensive screening tool that can be scaled to a population, and that could reduce the number of at-risk couples missed by premarital screening programmes.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تعلّم عميق قابل للتفسير سريرياً للتنبؤ بإمراضية المتغيّرات المغلوطة في سرطان الثدي.</w:t>
            </w:r>
          </w:p>
        </w:tc>
        <w:tc>
          <w:tcPr>
            <w:tcW w:type="dxa" w:w="2592"/>
          </w:tcPr>
          <w:p>
            <w:pPr>
              <w:bidi/>
              <w:spacing w:after="0" w:before="0"/>
            </w:pPr>
            <w:r>
              <w:rPr>
                <w:rFonts w:ascii="Dubai" w:hAnsi="Dubai" w:cs="Dubai"/>
                <w:b w:val="0"/>
                <w:sz w:val="22"/>
                <w:szCs w:val="22"/>
                <w:rtl/>
              </w:rPr>
              <w:t>الدكتورة رهف أحمد – زميلة ما بعد الدكتوراه، جامعة الإمارات العربية المتحدة.</w:t>
            </w:r>
          </w:p>
        </w:tc>
        <w:tc>
          <w:tcPr>
            <w:tcW w:type="dxa" w:w="7488"/>
          </w:tcPr>
          <w:p>
            <w:pPr>
              <w:spacing w:after="0"/>
            </w:pPr>
            <w:r>
              <w:rPr>
                <w:rFonts w:ascii="Dubai" w:hAnsi="Dubai" w:cs="Dubai"/>
                <w:b w:val="0"/>
                <w:sz w:val="22"/>
                <w:szCs w:val="22"/>
              </w:rPr>
              <w:t>تحمل الجينات أحياناً تغيّرات دقيقة تُعرف بالمتغيّرات المغلوطة، يستبدل كلٌّ منها لبنة واحدة في البروتين. بعضها غير ضارّ البتّة، وبعضها يُعطّل عمل البروتين وقد يرفع خطر الإصابة بسرطان الثدي. والتمييز بينهما يستلزم عادةً تجارب مخبرية بطيئة ومكلفة، ولذلك يبقى كثير من المتغيّرات دون تصنيف، في منطقة رمادية لا تمنح الأطباء والمرضى جواباً واضحاً.</w:t>
            </w:r>
          </w:p>
          <w:p>
            <w:pPr>
              <w:spacing w:after="0"/>
            </w:pPr>
            <w:r>
              <w:rPr>
                <w:rFonts w:ascii="Dubai" w:hAnsi="Dubai" w:cs="Dubai"/>
                <w:b w:val="0"/>
                <w:sz w:val="22"/>
                <w:szCs w:val="22"/>
              </w:rPr>
              <w:t>وقد تساءلت هذه الدراسة عمّا إذا كان الذكاء الاصطناعي قادراً على المساعدة. فجُمعت عشرات الآلاف من المتغيّرات المعروفة سلفاً بكونها ضارّة أو غير ضارّة من قواعد بيانات جينية موثوقة، واستُخدمت في تدريب سبعة أنماط من نماذج التعلّم العميق. وتفوّق نموذجان منها، إذ صنّفا المتغيّرات تصنيفاً صحيحاً بنسبة تتجاوز 99 بالمئة.</w:t>
            </w:r>
          </w:p>
          <w:p>
            <w:pPr>
              <w:spacing w:after="0"/>
            </w:pPr>
            <w:r>
              <w:rPr>
                <w:rFonts w:ascii="Dubai" w:hAnsi="Dubai" w:cs="Dubai"/>
                <w:b w:val="0"/>
                <w:sz w:val="22"/>
                <w:szCs w:val="22"/>
              </w:rPr>
              <w:t>ولم تُعامَل النماذج بوصفها صندوقاً مغلقاً؛ فقد أظهرت أدوات تفسير القرارات أنّها تعتمد على مؤشرات يثق بها علماء الوراثة أصلاً، منها مدى ثبات جزء من الجين عبر الأنواع الحيّة على مرّ الزمن.</w:t>
            </w:r>
          </w:p>
          <w:p>
            <w:pPr>
              <w:spacing w:after="0"/>
            </w:pPr>
            <w:r>
              <w:rPr>
                <w:rFonts w:ascii="Dubai" w:hAnsi="Dubai" w:cs="Dubai"/>
                <w:b w:val="0"/>
                <w:sz w:val="22"/>
                <w:szCs w:val="22"/>
              </w:rPr>
              <w:t>ولهذا أثر مباشر في رعاية المرضى: فالأداة الدقيقة والقابلة للتفسير معاً أجدر بالثقة في العيادة. ويقدّم هذا العمل سبيلاً سريعاً ومنخفض الكلفة لفهم متغيّرات سرطان الثدي غير المحسومة، ويمكن تطبيق المنهج نفسه لاحقاً على أمراض وراثية أخرى.</w:t>
            </w:r>
          </w:p>
          <w:p>
            <w:pPr>
              <w:spacing w:after="0"/>
            </w:pPr>
            <w:r>
              <w:rPr>
                <w:rFonts w:ascii="Dubai" w:hAnsi="Dubai" w:cs="Dubai"/>
                <w:b w:val="0"/>
                <w:sz w:val="22"/>
                <w:szCs w:val="22"/>
              </w:rPr>
              <w:t>Genes sometimes carry tiny changes called missense variants, each swapping a single building block in a protein. Some are entirely harmless; others break how a protein works and can raise the risk of breast cancer. Telling the two apart usually requires slow and costly laboratory experiments, so many variants are never classified and sit in a grey zone that gives doctors and patients no clear answer.</w:t>
            </w:r>
          </w:p>
          <w:p>
            <w:pPr>
              <w:spacing w:after="0"/>
            </w:pPr>
            <w:r>
              <w:rPr>
                <w:rFonts w:ascii="Dubai" w:hAnsi="Dubai" w:cs="Dubai"/>
                <w:b w:val="0"/>
                <w:sz w:val="22"/>
                <w:szCs w:val="22"/>
              </w:rPr>
              <w:t>This study asked whether artificial intelligence could help. Tens of thousands of variants already known to be harmful or harmless were drawn from trusted genetic databases and used to train seven types of deep learning model. Two performed best, sorting variants correctly more than 99 percent of the time.</w:t>
            </w:r>
          </w:p>
          <w:p>
            <w:pPr>
              <w:spacing w:after="0"/>
            </w:pPr>
            <w:r>
              <w:rPr>
                <w:rFonts w:ascii="Dubai" w:hAnsi="Dubai" w:cs="Dubai"/>
                <w:b w:val="0"/>
                <w:sz w:val="22"/>
                <w:szCs w:val="22"/>
              </w:rPr>
              <w:t>Just as important, the models were not treated as a black box. Tools that show why each decision was made revealed the models relying on clues geneticists already trust — among them how strongly a part of a gene has stayed the same across species over time.</w:t>
            </w:r>
          </w:p>
          <w:p>
            <w:pPr>
              <w:spacing w:after="0"/>
            </w:pPr>
            <w:r>
              <w:rPr>
                <w:rFonts w:ascii="Dubai" w:hAnsi="Dubai" w:cs="Dubai"/>
                <w:b w:val="0"/>
                <w:sz w:val="22"/>
                <w:szCs w:val="22"/>
              </w:rPr>
              <w:t>That matters for patient care: a tool that is both accurate and explainable is far more likely to be trusted in a clinic. The work offers a fast, low-cost way to make sense of uncertain breast cancer variants, and the same approach could later be applied to other genetic diseases.</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نمذجة متلازمة درافيه وتصميم دواء بالحمض النووي الريبي المرسال يعكس النمط الظاهري الجزيئي في الخلايا العصبية المشتقة من الخلايا الجذعية المحفَّزة.</w:t>
            </w:r>
          </w:p>
        </w:tc>
        <w:tc>
          <w:tcPr>
            <w:tcW w:type="dxa" w:w="2592"/>
          </w:tcPr>
          <w:p>
            <w:pPr>
              <w:bidi/>
              <w:spacing w:after="0" w:before="0"/>
            </w:pPr>
            <w:r>
              <w:rPr>
                <w:rFonts w:ascii="Dubai" w:hAnsi="Dubai" w:cs="Dubai"/>
                <w:b w:val="0"/>
                <w:sz w:val="22"/>
                <w:szCs w:val="22"/>
                <w:rtl/>
              </w:rPr>
              <w:t>نور كساجي – طالبة دكتوراه في العلوم الطبية الحيوية، جامعة محمد بن راشد للطب والعلوم الصحية.</w:t>
            </w:r>
          </w:p>
        </w:tc>
        <w:tc>
          <w:tcPr>
            <w:tcW w:type="dxa" w:w="7488"/>
          </w:tcPr>
          <w:p>
            <w:pPr>
              <w:spacing w:after="0"/>
            </w:pPr>
            <w:r>
              <w:rPr>
                <w:rFonts w:ascii="Dubai" w:hAnsi="Dubai" w:cs="Dubai"/>
                <w:b w:val="0"/>
                <w:sz w:val="22"/>
                <w:szCs w:val="22"/>
              </w:rPr>
              <w:t>متلازمة درافيه شكل شديد من الصرع يبدأ في مرحلة الرضاعة، وينشأ عن تغيّرات في جين يُعرف بـ SCN1A. ويعاني الأطفال المصابون بها نوبات متكررة يصعب ضبطها وتأخّراً في النمو، ويواجهون خطراً مرتفعاً للوفاة المبكرة. أمّا العلاج المتاح اليوم فمحدود ويقتصر غالباً على تخفيف الأعراض.</w:t>
            </w:r>
          </w:p>
          <w:p>
            <w:pPr>
              <w:spacing w:after="0"/>
            </w:pPr>
            <w:r>
              <w:rPr>
                <w:rFonts w:ascii="Dubai" w:hAnsi="Dubai" w:cs="Dubai"/>
                <w:b w:val="0"/>
                <w:sz w:val="22"/>
                <w:szCs w:val="22"/>
              </w:rPr>
              <w:t>حلّلت هذه الدراسة الحمض النووي لآلاف الأطفال المصابين باضطرابات النمو العصبي بحثاً عن التغيّرات التي قد تفسّر حالاتهم، مع التركيز على جين SCN1A. ولفهم أثر هذه التغيّرات في خلايا الدماغ، استعان الفريق بتقنيات متقدمة للخلايا الجذعية لإنشاء خلايا عصبية بشرية تحمل الطفرة في المختبر.</w:t>
            </w:r>
          </w:p>
          <w:p>
            <w:pPr>
              <w:spacing w:after="0"/>
            </w:pPr>
            <w:r>
              <w:rPr>
                <w:rFonts w:ascii="Dubai" w:hAnsi="Dubai" w:cs="Dubai"/>
                <w:b w:val="0"/>
                <w:sz w:val="22"/>
                <w:szCs w:val="22"/>
              </w:rPr>
              <w:t>وأظهرت هذه الخلايا النشاط الكهربائي غير الطبيعي والتغيّرات الجزيئية التي تُرى لدى المرضى، ودرس الفريق كيف أثّرت الطفرة في الجينات والبروتينات وأيض الخلية.</w:t>
            </w:r>
          </w:p>
          <w:p>
            <w:pPr>
              <w:spacing w:after="0"/>
            </w:pPr>
            <w:r>
              <w:rPr>
                <w:rFonts w:ascii="Dubai" w:hAnsi="Dubai" w:cs="Dubai"/>
                <w:b w:val="0"/>
                <w:sz w:val="22"/>
                <w:szCs w:val="22"/>
              </w:rPr>
              <w:t>ولاستكشاف علاج محتمل، اختبر الفريق استراتيجية جديدة: إسكات الجين المعطوب بقليلات النوكليوتيد المضادة للمعنى، وإعادة إدخال نسخة سليمة منه عبر ناقل مصمّم خصيصاً. وأظهر هذا النهج وعداً مبكراً في تصحيح الخلل الخلوي الناجم عن الطفرة.</w:t>
            </w:r>
          </w:p>
          <w:p>
            <w:pPr>
              <w:spacing w:after="0"/>
            </w:pPr>
            <w:r>
              <w:rPr>
                <w:rFonts w:ascii="Dubai" w:hAnsi="Dubai" w:cs="Dubai"/>
                <w:b w:val="0"/>
                <w:sz w:val="22"/>
                <w:szCs w:val="22"/>
              </w:rPr>
              <w:t>ولا يزال العمل جارياً، غير أنّه يقرّب العلاج الشخصي الموجّه إلى سبب متلازمة درافيه، لا إلى أعراضها، من العائلات المتأثرة بها.</w:t>
            </w:r>
          </w:p>
          <w:p>
            <w:pPr>
              <w:spacing w:after="0"/>
            </w:pPr>
            <w:r>
              <w:rPr>
                <w:rFonts w:ascii="Dubai" w:hAnsi="Dubai" w:cs="Dubai"/>
                <w:b w:val="0"/>
                <w:sz w:val="22"/>
                <w:szCs w:val="22"/>
              </w:rPr>
              <w:t>Dravet syndrome is a severe form of epilepsy that begins in infancy, caused by changes in a gene called SCN1A. Children with the condition experience frequent, hard-to-control seizures and developmental delays, and face a high risk of early death. Treatment today is limited and largely confined to easing symptoms.</w:t>
            </w:r>
          </w:p>
          <w:p>
            <w:pPr>
              <w:spacing w:after="0"/>
            </w:pPr>
            <w:r>
              <w:rPr>
                <w:rFonts w:ascii="Dubai" w:hAnsi="Dubai" w:cs="Dubai"/>
                <w:b w:val="0"/>
                <w:sz w:val="22"/>
                <w:szCs w:val="22"/>
              </w:rPr>
              <w:t>This study analysed the DNA of thousands of children with neurodevelopmental disorders to find the changes that might explain their conditions, focusing on SCN1A. To understand how those changes affect brain cells, the team used advanced stem cell techniques to create human neurons carrying the SCN1A mutation in the laboratory.</w:t>
            </w:r>
          </w:p>
          <w:p>
            <w:pPr>
              <w:spacing w:after="0"/>
            </w:pPr>
            <w:r>
              <w:rPr>
                <w:rFonts w:ascii="Dubai" w:hAnsi="Dubai" w:cs="Dubai"/>
                <w:b w:val="0"/>
                <w:sz w:val="22"/>
                <w:szCs w:val="22"/>
              </w:rPr>
              <w:t>Those neurons showed the abnormal electrical activity and molecular changes seen in patients, and the team examined how the mutation affected genes, proteins and cell metabolism.</w:t>
            </w:r>
          </w:p>
          <w:p>
            <w:pPr>
              <w:spacing w:after="0"/>
            </w:pPr>
            <w:r>
              <w:rPr>
                <w:rFonts w:ascii="Dubai" w:hAnsi="Dubai" w:cs="Dubai"/>
                <w:b w:val="0"/>
                <w:sz w:val="22"/>
                <w:szCs w:val="22"/>
              </w:rPr>
              <w:t>To explore a treatment, they tested a new strategy: silencing the faulty gene with antisense oligonucleotides, and reintroducing a healthy copy of it through a custom-built vector. The approach showed early promise in correcting the cellular problems the mutation causes.</w:t>
            </w:r>
          </w:p>
          <w:p>
            <w:pPr>
              <w:spacing w:after="0"/>
            </w:pPr>
            <w:r>
              <w:rPr>
                <w:rFonts w:ascii="Dubai" w:hAnsi="Dubai" w:cs="Dubai"/>
                <w:b w:val="0"/>
                <w:sz w:val="22"/>
                <w:szCs w:val="22"/>
              </w:rPr>
              <w:t>The work is still in progress, but it brings personalised treatment aimed at the cause of Dravet syndrome, rather than at its symptoms, closer for the families it affects.</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لجنة الشرق الأوسط وشمال أفريقيا لعلاج وأبحاث التصلب المتعدد،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 وقد سلّمها له صاحب السمو الشيخ محمد بن زايد آل نهيان، رئيس الدولة.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«حياة»: تحويل التبرع بالأعضاء وزراعتها من خلال الابتكار الرقمي.</w:t>
            </w:r>
          </w:p>
        </w:tc>
        <w:tc>
          <w:tcPr>
            <w:tcW w:type="dxa" w:w="2592"/>
          </w:tcPr>
          <w:p>
            <w:pPr>
              <w:bidi/>
              <w:spacing w:after="0" w:before="0"/>
            </w:pPr>
            <w:r>
              <w:rPr>
                <w:rFonts w:ascii="Dubai" w:hAnsi="Dubai" w:cs="Dubai"/>
                <w:b w:val="0"/>
                <w:sz w:val="22"/>
                <w:szCs w:val="22"/>
                <w:rtl/>
              </w:rPr>
              <w:t>وزارة الصحة ووقاية المجتمع – البرنامج الوطني للتبرع بالأعضاء والأنسجة وزراعتها «حياة».</w:t>
            </w:r>
          </w:p>
        </w:tc>
        <w:tc>
          <w:tcPr>
            <w:tcW w:type="dxa" w:w="7488"/>
          </w:tcPr>
          <w:p>
            <w:pPr>
              <w:spacing w:after="0"/>
            </w:pPr>
            <w:r>
              <w:rPr>
                <w:rFonts w:ascii="Dubai" w:hAnsi="Dubai" w:cs="Dubai"/>
                <w:b w:val="0"/>
                <w:sz w:val="22"/>
                <w:szCs w:val="22"/>
              </w:rPr>
              <w:t>«حياة» هو البرنامج الوطني للتبرع بالأعضاء والأنسجة وزراعتها في دولة الإمارات العربية المتحدة، أُنشئ برعاية وزارة الصحة ووقاية المجتمع ونُفّذ بالتعاون مع الجهات الصحية الاتحادية والمحلية والمستشفيات ومراكز الزراعة والمختبرات وشركاء المجتمع. وقد حوّل التبرع بالأعضاء وزراعتها من خدمة مجزّأة إلى منظومة وطنية منسّقة محورها المريض.</w:t>
            </w:r>
          </w:p>
          <w:p>
            <w:pPr>
              <w:spacing w:after="0"/>
            </w:pPr>
            <w:r>
              <w:rPr>
                <w:rFonts w:ascii="Dubai" w:hAnsi="Dubai" w:cs="Dubai"/>
                <w:b w:val="0"/>
                <w:sz w:val="22"/>
                <w:szCs w:val="22"/>
              </w:rPr>
              <w:t>وأبرز إنجازاته منظومة «حياة» الوطنية لتنسيق التبرع بالأعضاء وزراعتها، وهي الأولى من نوعها في المنطقة، إذ تجمع الحوكمة والتشريعات والمسارات السريرية والعمليات التشغيلية وتبادل المعلومات وإدارة الجودة والتواصل المجتمعي في إطار وطني واحد. وبدل الاكتفاء بنشاط الزراعة، أعاد البرنامج تصميم المسار بأكمله، فواءم بين مستشفيات المتبرعين ومراكز الزراعة ومختبرات التوافق النسيجي والجهات التنظيمية وشركاء المجتمع عبر مسارات سريرية موحّدة وآليات تخصيص شفافة.</w:t>
            </w:r>
          </w:p>
          <w:p>
            <w:pPr>
              <w:spacing w:after="0"/>
            </w:pPr>
            <w:r>
              <w:rPr>
                <w:rFonts w:ascii="Dubai" w:hAnsi="Dubai" w:cs="Dubai"/>
                <w:b w:val="0"/>
                <w:sz w:val="22"/>
                <w:szCs w:val="22"/>
              </w:rPr>
              <w:t>ورفع البرنامج معدّل التبرع من المتوفين إلى نحو 14 متبرعاً لكل مليون نسمة، وجمع أكثر من 35 ألف تعهّد بالتبرع، مستنداً إلى لوحات بيانات رقمية وتطوير للكوادر وضمان للجودة وتعاون دولي. ويشمل تدخّلات غير مشمولة بالتأمين بما يخدم عدالة الوصول إلى الرعاية.</w:t>
            </w:r>
          </w:p>
          <w:p>
            <w:pPr>
              <w:spacing w:after="0"/>
            </w:pPr>
            <w:r>
              <w:rPr>
                <w:rFonts w:ascii="Dubai" w:hAnsi="Dubai" w:cs="Dubai"/>
                <w:b w:val="0"/>
                <w:sz w:val="22"/>
                <w:szCs w:val="22"/>
              </w:rPr>
              <w:t>HAYAT is the UAE National Program for Organ and Tissue Donation and Transplantation, established under the Ministry of Health and Prevention and implemented with federal and local health authorities, hospitals, transplant centres, laboratories and community partners. It turned organ donation and transplantation from a fragmented service into a nationally coordinated, patient-centred system.</w:t>
            </w:r>
          </w:p>
          <w:p>
            <w:pPr>
              <w:spacing w:after="0"/>
            </w:pPr>
            <w:r>
              <w:rPr>
                <w:rFonts w:ascii="Dubai" w:hAnsi="Dubai" w:cs="Dubai"/>
                <w:b w:val="0"/>
                <w:sz w:val="22"/>
                <w:szCs w:val="22"/>
              </w:rPr>
              <w:t>Its central achievement is the HAYAT National Organ Donation and Transplant Coordination Ecosystem, the first model of its kind in the region, which brings governance, legislation, clinical pathways, operational processes, information exchange, quality management and public engagement into a single national framework. Rather than concentrating on transplantation activity alone, the programme redesigned the whole pathway, aligning donor hospitals, transplant centres, histocompatibility laboratories, regulators and community partners through standardised clinical pathways and transparent allocation.</w:t>
            </w:r>
          </w:p>
          <w:p>
            <w:pPr>
              <w:spacing w:after="0"/>
            </w:pPr>
            <w:r>
              <w:rPr>
                <w:rFonts w:ascii="Dubai" w:hAnsi="Dubai" w:cs="Dubai"/>
                <w:b w:val="0"/>
                <w:sz w:val="22"/>
                <w:szCs w:val="22"/>
              </w:rPr>
              <w:t>The programme has raised the deceased-donor rate to nearly 14 per million population and gathered more than 35,000 donor pledges, supported by digital dashboards, workforce development, quality assurance and international collaboration. It extends to interventions not covered by insurance, in the interest of equitable access.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من الرؤية إلى الواقع: بناء مركز تميّز لعلاج الحروق في دولة الإمارات العربية المتحدة.</w:t>
            </w:r>
          </w:p>
        </w:tc>
        <w:tc>
          <w:tcPr>
            <w:tcW w:type="dxa" w:w="2592"/>
          </w:tcPr>
          <w:p>
            <w:pPr>
              <w:bidi/>
              <w:spacing w:after="0" w:before="0"/>
            </w:pPr>
            <w:r>
              <w:rPr>
                <w:rFonts w:ascii="Dubai" w:hAnsi="Dubai" w:cs="Dubai"/>
                <w:b w:val="0"/>
                <w:sz w:val="22"/>
                <w:szCs w:val="22"/>
                <w:rtl/>
              </w:rPr>
              <w:t>قسم الحروق – مدينة الشيخ شخبوط الطبية، أبوظبي.</w:t>
            </w:r>
          </w:p>
        </w:tc>
        <w:tc>
          <w:tcPr>
            <w:tcW w:type="dxa" w:w="7488"/>
          </w:tcPr>
          <w:p>
            <w:pPr>
              <w:spacing w:after="0"/>
            </w:pPr>
            <w:r>
              <w:rPr>
                <w:rFonts w:ascii="Dubai" w:hAnsi="Dubai" w:cs="Dubai"/>
                <w:b w:val="0"/>
                <w:sz w:val="22"/>
                <w:szCs w:val="22"/>
              </w:rPr>
              <w:t>مركز التميّز لعلاج الحروق في مدينة الشيخ شخبوط الطبية هو الأول في أبوظبي، وقد أُسّس حول هدف نيل اعتماد الجمعية الأمريكية للحروق، وحول نموذج متعدد التخصصات للرعاية التخصصية بالحروق في دولة الإمارات والمنطقة.</w:t>
            </w:r>
          </w:p>
          <w:p>
            <w:pPr>
              <w:spacing w:after="0"/>
            </w:pPr>
            <w:r>
              <w:rPr>
                <w:rFonts w:ascii="Dubai" w:hAnsi="Dubai" w:cs="Dubai"/>
                <w:b w:val="0"/>
                <w:sz w:val="22"/>
                <w:szCs w:val="22"/>
              </w:rPr>
              <w:t>وجمع المركز الرعاية تحت سقف واحد: بدائل الجلد المؤقتة المتقدمة، ومسارات سريرية موائمة لمعايير الجمعية الأمريكية للحروق، وإعادة تأهيل تخصصية، ودعم نفسي واجتماعي، ومسارات للتغطية المالية والدعم الخيري تلبّي حاجة الناجين من الحروق إلى رعاية طويلة الأمد. وأُعيدت هندسة المسارات التقليدية حول لوحات بيانات آنية للجودة، وأُعيد بناء ملاك الموظفين ليكون فريقاً متعدد المهارات قادراً على الجمع بين رعاية الحروق الحرجة وإعادة التأهيل المكثّف والدعم النفسي والاجتماعي. وأتاحت شراكات دولية برامج تدريب قائمة على المحاكاة مصمّمة لمتطلبات إصابات الحروق، كما أسهم المركز في إنشاء أول شبكة منسّقة لإحالة حالات الحروق في أبوظبي.</w:t>
            </w:r>
          </w:p>
          <w:p>
            <w:pPr>
              <w:spacing w:after="0"/>
            </w:pPr>
            <w:r>
              <w:rPr>
                <w:rFonts w:ascii="Dubai" w:hAnsi="Dubai" w:cs="Dubai"/>
                <w:b w:val="0"/>
                <w:sz w:val="22"/>
                <w:szCs w:val="22"/>
              </w:rPr>
              <w:t>وارتفع عدد المرضى بنحو 40 بالمئة، وسجّل المركز معدّل وفيات بلغ 1.4 بالمئة في عام 2025 و1.3 بالمئة في الفترة من يناير إلى أغسطس 2026، مع خروج 95 بالمئة من المرضى إلى منازلهم. وتدعم شراكة مع مؤسسة «معاً» علاج غير المؤمَّن عليهم. ومن المقرر نيل اعتماد الجمعية الأمريكية للحروق في عام 2027.</w:t>
            </w:r>
          </w:p>
          <w:p>
            <w:pPr>
              <w:spacing w:after="0"/>
            </w:pPr>
            <w:r>
              <w:rPr>
                <w:rFonts w:ascii="Dubai" w:hAnsi="Dubai" w:cs="Dubai"/>
                <w:b w:val="0"/>
                <w:sz w:val="22"/>
                <w:szCs w:val="22"/>
              </w:rPr>
              <w:t>The Burn Center of Excellence at Sheikh Shakhbout Medical City is Abu Dhabi's first, built around the goal of American Burn Association accreditation and a multidisciplinary model of specialised burn care for the UAE and the wider region.</w:t>
            </w:r>
          </w:p>
          <w:p>
            <w:pPr>
              <w:spacing w:after="0"/>
            </w:pPr>
            <w:r>
              <w:rPr>
                <w:rFonts w:ascii="Dubai" w:hAnsi="Dubai" w:cs="Dubai"/>
                <w:b w:val="0"/>
                <w:sz w:val="22"/>
                <w:szCs w:val="22"/>
              </w:rPr>
              <w:t>The centre brought care together under one roof: advanced temporary skin substitutes, clinical pathways aligned to ABA standards, specialised rehabilitation, psychosocial support, and reimbursement and charitable pathways for the long-term care burn survivors need. Traditional pathways were re-engineered around real-time quality dashboards, and staffing was rebuilt as a cross-trained workforce able to deliver high-acuity burn care, intensive rehabilitation and psychosocial support together. International collaborations brought simulation-based training designed for the particular demands of burn injury, and the centre helped establish Abu Dhabi's first coordinated burn referral network.</w:t>
            </w:r>
          </w:p>
          <w:p>
            <w:pPr>
              <w:spacing w:after="0"/>
            </w:pPr>
            <w:r>
              <w:rPr>
                <w:rFonts w:ascii="Dubai" w:hAnsi="Dubai" w:cs="Dubai"/>
                <w:b w:val="0"/>
                <w:sz w:val="22"/>
                <w:szCs w:val="22"/>
              </w:rPr>
              <w:t>Patient numbers have grown by approximately 40 percent, with a mortality rate of 1.4 percent in 2025 and 1.3 percent for January to August 2026, and 95 percent of patients discharged home. A partnership with Ma'an supports treatment for people without insurance. American Burn Association verification is planned for 2027.</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