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خارج الخلوية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طعمة للتصلب المتعدد (لبنان).</w:t>
            </w:r>
          </w:p>
        </w:tc>
        <w:tc>
          <w:tcPr>
            <w:tcW w:type="dxa" w:w="7488"/>
          </w:tcPr>
          <w:p>
            <w:pPr>
              <w:spacing w:after="0"/>
            </w:pPr>
            <w:r>
              <w:rPr>
                <w:rFonts w:ascii="Dubai" w:hAnsi="Dubai" w:cs="Dubai"/>
                <w:b w:val="0"/>
                <w:sz w:val="22"/>
                <w:szCs w:val="22"/>
              </w:rPr>
              <w:t>The envelope protein of human endogenous retrovirus type W, pHERV-W ENV, has been implicated in the pathogenesis of multiple sclerosis, but its clinical utility as a biomarker remained incompletely defined. The study found it enriched on serum-derived exosomes in patients with relapsing-remitting MS, where it reflects both current disease activity and future risk.</w:t>
            </w:r>
          </w:p>
          <w:p>
            <w:pPr>
              <w:spacing w:after="0"/>
            </w:pPr>
            <w:r>
              <w:rPr>
                <w:rFonts w:ascii="Dubai" w:hAnsi="Dubai" w:cs="Dubai"/>
                <w:b w:val="0"/>
                <w:sz w:val="22"/>
                <w:szCs w:val="22"/>
              </w:rPr>
              <w:t>The team measured exosomal pHERV-W ENV across three groups: one comparing healthy people with stable and with active disease; one following patients before, during and after episodes of activity; and one tracking newly diagnosed patients over three years.</w:t>
            </w:r>
          </w:p>
          <w:p>
            <w:pPr>
              <w:spacing w:after="0"/>
            </w:pPr>
            <w:r>
              <w:rPr>
                <w:rFonts w:ascii="Dubai" w:hAnsi="Dubai" w:cs="Dubai"/>
                <w:b w:val="0"/>
                <w:sz w:val="22"/>
                <w:szCs w:val="22"/>
              </w:rPr>
              <w:t>Levels rose during active disease and declined at follow-up. They correlated with Epstein-Barr virus LMP2A expression, and monocytes and B cells were the predominant sources of the circulating protein. Patients with high levels at baseline recorded more total disease activity — clinical relapses together with new or enlarging MRI lesions — over three years, and lost "No Evidence of Disease Activity" status sooner.</w:t>
            </w:r>
          </w:p>
          <w:p>
            <w:pPr>
              <w:spacing w:after="0"/>
            </w:pPr>
            <w:r>
              <w:rPr>
                <w:rFonts w:ascii="Dubai" w:hAnsi="Dubai" w:cs="Dubai"/>
                <w:b w:val="0"/>
                <w:sz w:val="22"/>
                <w:szCs w:val="22"/>
              </w:rPr>
              <w:t>The findings suggest that exosomal pHERV-W ENV may serve as a dynamic, non-invasive biomarker of disease activity with prognostic value in multiple sclerosis.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مسودة مرجع البانجينوم العربي المستند إلى بيانات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علم الجينوم التطبيقي والانتقالي – جامعة محمد بن راشد للطب والعلوم الصحية، دبي الصحية.</w:t>
            </w:r>
          </w:p>
        </w:tc>
        <w:tc>
          <w:tcPr>
            <w:tcW w:type="dxa" w:w="7488"/>
          </w:tcPr>
          <w:p>
            <w:pPr>
              <w:spacing w:after="0"/>
            </w:pPr>
            <w:r>
              <w:rPr>
                <w:rFonts w:ascii="Dubai" w:hAnsi="Dubai" w:cs="Dubai"/>
                <w:b w:val="0"/>
                <w:sz w:val="22"/>
                <w:szCs w:val="22"/>
              </w:rPr>
              <w:t>Global DNA references have historically underrepresented Arab populations. This study built the first Arab Pangenome Reference, from high-quality long-read sequencing of 53 people of diverse Arab backgrounds in the UAE. Every stage, from sequencing to advanced bioinformatics, was completed in-house at the Center for Applied and Translational Genomics at Mohammed Bin Rashid University of Medicine and Health Sciences, Dubai Health.</w:t>
            </w:r>
          </w:p>
          <w:p>
            <w:pPr>
              <w:spacing w:after="0"/>
            </w:pPr>
            <w:r>
              <w:rPr>
                <w:rFonts w:ascii="Dubai" w:hAnsi="Dubai" w:cs="Dubai"/>
                <w:b w:val="0"/>
                <w:sz w:val="22"/>
                <w:szCs w:val="22"/>
              </w:rPr>
              <w:t>The reference uncovered over 110 million base pairs of novel DNA sequence, nearly nine million small differences and more than 235,000 larger structural differences specific to Arab populations, none of them previously reported. One notable discovery was the duplicated gene TAF11L5, highly enriched in the individuals studied but absent from global references; it may play a role in regulating other genes, with implications for disease risk and individual variation in treatment response.</w:t>
            </w:r>
          </w:p>
          <w:p>
            <w:pPr>
              <w:spacing w:after="0"/>
            </w:pPr>
            <w:r>
              <w:rPr>
                <w:rFonts w:ascii="Dubai" w:hAnsi="Dubai" w:cs="Dubai"/>
                <w:b w:val="0"/>
                <w:sz w:val="22"/>
                <w:szCs w:val="22"/>
              </w:rPr>
              <w:t>The project also produced PanScan, a tool that detects gene duplications, novel DNA changes and complex DNA structures, now publicly available on GitHub. Published in Nature Communications, the reference enables population-specific biomarkers, risk models and therapeutic targets, and supports the UAE's National Genome Strategy.</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سدرة للطب، وأستاذ علم الجينوم والطب الدقيق بجامعة حمد بن خليفة (قطر).</w:t>
            </w:r>
          </w:p>
        </w:tc>
        <w:tc>
          <w:tcPr>
            <w:tcW w:type="dxa" w:w="7488"/>
          </w:tcPr>
          <w:p>
            <w:pPr>
              <w:spacing w:after="0"/>
            </w:pPr>
            <w:r>
              <w:rPr>
                <w:rFonts w:ascii="Dubai" w:hAnsi="Dubai" w:cs="Dubai"/>
                <w:b w:val="0"/>
                <w:sz w:val="22"/>
                <w:szCs w:val="22"/>
              </w:rPr>
              <w:t>Dr. Khalid A. Fakhro graduated top of his country in 2001 and chose genetics, a discipline then perceived as offering limited career prospects in the GCC. He took his BA at the University of Chicago and his master's and PhD at Yale University on full scholarships, then trained at Weill Cornell Medicine.</w:t>
            </w:r>
          </w:p>
          <w:p>
            <w:pPr>
              <w:spacing w:after="0"/>
            </w:pPr>
            <w:r>
              <w:rPr>
                <w:rFonts w:ascii="Dubai" w:hAnsi="Dubai" w:cs="Dubai"/>
                <w:b w:val="0"/>
                <w:sz w:val="22"/>
                <w:szCs w:val="22"/>
              </w:rPr>
              <w:t>He returned to Qatar, where local genomic research infrastructure was, in his own words, rudimentary. With a small team he had sequenced more than 2,000 individuals by late 2016. Their discoveries included an indigenous founder Arab population descended from the earliest human migrations out of Africa, featured on the February 2016 cover of Genome Research, and the first study of reference bias in Arab patients, which found nearly 15 percent of "variant alleles" should be considered reference in Qataris, around 200 of them mis-labelled as pathogenic in OMIM.</w:t>
            </w:r>
          </w:p>
          <w:p>
            <w:pPr>
              <w:spacing w:after="0"/>
            </w:pPr>
            <w:r>
              <w:rPr>
                <w:rFonts w:ascii="Dubai" w:hAnsi="Dubai" w:cs="Dubai"/>
                <w:b w:val="0"/>
                <w:sz w:val="22"/>
                <w:szCs w:val="22"/>
              </w:rPr>
              <w:t>Appointed lead consultant to the Qatar Genome Program in 2014 and inaugural Director of Human Genetics at Sidra Medicine in 2016, he established Qatar's first point-of-care whole genome sequencing programme, which reached a diagnostic rate of around 60 percent, and the region's largest bio-resource for autism. His teams have contributed more than 1,000 Qatari exomes and genomes to the public domain — the largest Arab genome submission to a public database to date.</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تطوير فحص تسلسل بالقراءات الطويلة قائم على أخذ العيّنات التكيّفي للفحص الجيني قبل الزواج.</w:t>
            </w:r>
          </w:p>
        </w:tc>
        <w:tc>
          <w:tcPr>
            <w:tcW w:type="dxa" w:w="2592"/>
          </w:tcPr>
          <w:p>
            <w:pPr>
              <w:bidi/>
              <w:spacing w:after="0" w:before="0"/>
            </w:pPr>
            <w:r>
              <w:rPr>
                <w:rFonts w:ascii="Dubai" w:hAnsi="Dubai" w:cs="Dubai"/>
                <w:b w:val="0"/>
                <w:sz w:val="22"/>
                <w:szCs w:val="22"/>
                <w:rtl/>
              </w:rPr>
              <w:t>خلود البلوشي – جامعة محمد بن راشد للطب والعلوم الصحية، وأخصائية مختبر وراثة بمدينة الشيخ خليفة الطبية.</w:t>
            </w:r>
          </w:p>
        </w:tc>
        <w:tc>
          <w:tcPr>
            <w:tcW w:type="dxa" w:w="7488"/>
          </w:tcPr>
          <w:p>
            <w:pPr>
              <w:spacing w:after="0"/>
            </w:pPr>
            <w:r>
              <w:rPr>
                <w:rFonts w:ascii="Dubai" w:hAnsi="Dubai" w:cs="Dubai"/>
                <w:b w:val="0"/>
                <w:sz w:val="22"/>
                <w:szCs w:val="22"/>
              </w:rPr>
              <w:t>Standard genetic tests used in premarital screening read DNA in very short fragments. That works for most of the genome, but it fails consistently in regions where genes look almost identical to one another — among them the genes behind thalassemia, spinal muscular atrophy and congenital adrenal hyperplasia. Those are precisely the conditions most relevant to high-risk populations, so some carriers are missed entirely.</w:t>
            </w:r>
          </w:p>
          <w:p>
            <w:pPr>
              <w:spacing w:after="0"/>
            </w:pPr>
            <w:r>
              <w:rPr>
                <w:rFonts w:ascii="Dubai" w:hAnsi="Dubai" w:cs="Dubai"/>
                <w:b w:val="0"/>
                <w:sz w:val="22"/>
                <w:szCs w:val="22"/>
              </w:rPr>
              <w:t>This study developed a new form of testing using Oxford Nanopore long-read sequencing, which reads much longer stretches of DNA at once. It was combined with adaptive sampling, by which the sequencing machine decides in real time which fragments to read and which to discard, allowing it to focus on the 836 genes relevant to inherited disease without any physical enrichment step.</w:t>
            </w:r>
          </w:p>
          <w:p>
            <w:pPr>
              <w:spacing w:after="0"/>
            </w:pPr>
            <w:r>
              <w:rPr>
                <w:rFonts w:ascii="Dubai" w:hAnsi="Dubai" w:cs="Dubai"/>
                <w:b w:val="0"/>
                <w:sz w:val="22"/>
                <w:szCs w:val="22"/>
              </w:rPr>
              <w:t>The assay was built, optimised and tested on 75 individuals with previously confirmed genetic variants across several disease categories. It detected every variant type — small mutations, structural rearrangements and large deletions — with complete accuracy, and resolved complex gene regions that routinely defeat standard tests, in a single workflow that removes the need for the separate follow-up tests clinical practice currently requires.</w:t>
            </w:r>
          </w:p>
          <w:p>
            <w:pPr>
              <w:spacing w:after="0"/>
            </w:pPr>
            <w:r>
              <w:rPr>
                <w:rFonts w:ascii="Dubai" w:hAnsi="Dubai" w:cs="Dubai"/>
                <w:b w:val="0"/>
                <w:sz w:val="22"/>
                <w:szCs w:val="22"/>
              </w:rPr>
              <w:t>The result is a faster and more comprehensive screening tool that can be scaled to a population, and that could reduce the number of at-risk couples missed by premarital screening programmes.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تعلّم عميق قابل للتفسير سريرياً للتنبؤ بإمراضية المتغيّرات المغلوطة في سرطان الثدي.</w:t>
            </w:r>
          </w:p>
        </w:tc>
        <w:tc>
          <w:tcPr>
            <w:tcW w:type="dxa" w:w="2592"/>
          </w:tcPr>
          <w:p>
            <w:pPr>
              <w:bidi/>
              <w:spacing w:after="0" w:before="0"/>
            </w:pPr>
            <w:r>
              <w:rPr>
                <w:rFonts w:ascii="Dubai" w:hAnsi="Dubai" w:cs="Dubai"/>
                <w:b w:val="0"/>
                <w:sz w:val="22"/>
                <w:szCs w:val="22"/>
                <w:rtl/>
              </w:rPr>
              <w:t>الدكتورة رهف أحمد – زميلة ما بعد الدكتوراه، جامعة الإمارات العربية المتحدة.</w:t>
            </w:r>
          </w:p>
        </w:tc>
        <w:tc>
          <w:tcPr>
            <w:tcW w:type="dxa" w:w="7488"/>
          </w:tcPr>
          <w:p>
            <w:pPr>
              <w:spacing w:after="0"/>
            </w:pPr>
            <w:r>
              <w:rPr>
                <w:rFonts w:ascii="Dubai" w:hAnsi="Dubai" w:cs="Dubai"/>
                <w:b w:val="0"/>
                <w:sz w:val="22"/>
                <w:szCs w:val="22"/>
              </w:rPr>
              <w:t>Genes sometimes carry tiny changes called missense variants, each swapping a single building block in a protein. Some are entirely harmless; others break how a protein works and can raise the risk of breast cancer. Telling the two apart usually requires slow and costly laboratory experiments, so many variants are never classified and sit in a grey zone that gives doctors and patients no clear answer.</w:t>
            </w:r>
          </w:p>
          <w:p>
            <w:pPr>
              <w:spacing w:after="0"/>
            </w:pPr>
            <w:r>
              <w:rPr>
                <w:rFonts w:ascii="Dubai" w:hAnsi="Dubai" w:cs="Dubai"/>
                <w:b w:val="0"/>
                <w:sz w:val="22"/>
                <w:szCs w:val="22"/>
              </w:rPr>
              <w:t>This study asked whether artificial intelligence could help. Tens of thousands of variants already known to be harmful or harmless were drawn from trusted genetic databases and used to train seven types of deep learning model. Two performed best, sorting variants correctly more than 99 percent of the time.</w:t>
            </w:r>
          </w:p>
          <w:p>
            <w:pPr>
              <w:spacing w:after="0"/>
            </w:pPr>
            <w:r>
              <w:rPr>
                <w:rFonts w:ascii="Dubai" w:hAnsi="Dubai" w:cs="Dubai"/>
                <w:b w:val="0"/>
                <w:sz w:val="22"/>
                <w:szCs w:val="22"/>
              </w:rPr>
              <w:t>Just as important, the models were not treated as a black box. Tools that show why each decision was made revealed the models relying on clues geneticists already trust — among them how strongly a part of a gene has stayed the same across species over time.</w:t>
            </w:r>
          </w:p>
          <w:p>
            <w:pPr>
              <w:spacing w:after="0"/>
            </w:pPr>
            <w:r>
              <w:rPr>
                <w:rFonts w:ascii="Dubai" w:hAnsi="Dubai" w:cs="Dubai"/>
                <w:b w:val="0"/>
                <w:sz w:val="22"/>
                <w:szCs w:val="22"/>
              </w:rPr>
              <w:t>That matters for patient care: a tool that is both accurate and explainable is far more likely to be trusted in a clinic. The work offers a fast, low-cost way to make sense of uncertain breast cancer variants, and the same approach could later be applied to other genetic diseases.</w:t>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نمذجة متلازمة درافيه وتصميم دواء بالحمض النووي الريبي المرسال يعكس النمط الظاهري الجزيئي في الخلايا العصبية المشتقة من الخلايا الجذعية المحفَّزة.</w:t>
            </w:r>
          </w:p>
        </w:tc>
        <w:tc>
          <w:tcPr>
            <w:tcW w:type="dxa" w:w="2592"/>
          </w:tcPr>
          <w:p>
            <w:pPr>
              <w:bidi/>
              <w:spacing w:after="0" w:before="0"/>
            </w:pPr>
            <w:r>
              <w:rPr>
                <w:rFonts w:ascii="Dubai" w:hAnsi="Dubai" w:cs="Dubai"/>
                <w:b w:val="0"/>
                <w:sz w:val="22"/>
                <w:szCs w:val="22"/>
                <w:rtl/>
              </w:rPr>
              <w:t>نور كساجي – طالبة دكتوراه في العلوم الطبية الحيوية، جامعة محمد بن راشد للطب والعلوم الصحية.</w:t>
            </w:r>
          </w:p>
        </w:tc>
        <w:tc>
          <w:tcPr>
            <w:tcW w:type="dxa" w:w="7488"/>
          </w:tcPr>
          <w:p>
            <w:pPr>
              <w:spacing w:after="0"/>
            </w:pPr>
            <w:r>
              <w:rPr>
                <w:rFonts w:ascii="Dubai" w:hAnsi="Dubai" w:cs="Dubai"/>
                <w:b w:val="0"/>
                <w:sz w:val="22"/>
                <w:szCs w:val="22"/>
              </w:rPr>
              <w:t>Dravet syndrome is a severe form of epilepsy that begins in infancy, caused by changes in a gene called SCN1A. Children with the condition experience frequent, hard-to-control seizures and developmental delays, and face a high risk of early death. Treatment today is limited and largely confined to easing symptoms.</w:t>
            </w:r>
          </w:p>
          <w:p>
            <w:pPr>
              <w:spacing w:after="0"/>
            </w:pPr>
            <w:r>
              <w:rPr>
                <w:rFonts w:ascii="Dubai" w:hAnsi="Dubai" w:cs="Dubai"/>
                <w:b w:val="0"/>
                <w:sz w:val="22"/>
                <w:szCs w:val="22"/>
              </w:rPr>
              <w:t>This study analysed the DNA of thousands of children with neurodevelopmental disorders to find the changes that might explain their conditions, focusing on SCN1A. To understand how those changes affect brain cells, the team used advanced stem cell techniques to create human neurons carrying the SCN1A mutation in the laboratory.</w:t>
            </w:r>
          </w:p>
          <w:p>
            <w:pPr>
              <w:spacing w:after="0"/>
            </w:pPr>
            <w:r>
              <w:rPr>
                <w:rFonts w:ascii="Dubai" w:hAnsi="Dubai" w:cs="Dubai"/>
                <w:b w:val="0"/>
                <w:sz w:val="22"/>
                <w:szCs w:val="22"/>
              </w:rPr>
              <w:t>Those neurons showed the abnormal electrical activity and molecular changes seen in patients, and the team examined how the mutation affected genes, proteins and cell metabolism.</w:t>
            </w:r>
          </w:p>
          <w:p>
            <w:pPr>
              <w:spacing w:after="0"/>
            </w:pPr>
            <w:r>
              <w:rPr>
                <w:rFonts w:ascii="Dubai" w:hAnsi="Dubai" w:cs="Dubai"/>
                <w:b w:val="0"/>
                <w:sz w:val="22"/>
                <w:szCs w:val="22"/>
              </w:rPr>
              <w:t>To explore a treatment, they tested a new strategy: silencing the faulty gene with antisense oligonucleotides, and reintroducing a healthy copy of it through a custom-built vector. The approach showed early promise in correcting the cellular problems the mutation causes.</w:t>
            </w:r>
          </w:p>
          <w:p>
            <w:pPr>
              <w:spacing w:after="0"/>
            </w:pPr>
            <w:r>
              <w:rPr>
                <w:rFonts w:ascii="Dubai" w:hAnsi="Dubai" w:cs="Dubai"/>
                <w:b w:val="0"/>
                <w:sz w:val="22"/>
                <w:szCs w:val="22"/>
              </w:rPr>
              <w:t>The work is still in progress, but it brings personalised treatment aimed at the cause of Dravet syndrome, rather than at its symptoms, closer for the families it affects.</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شافعي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spacing w:after="0"/>
            </w:pPr>
            <w:r>
              <w:rPr>
                <w:rFonts w:ascii="Dubai" w:hAnsi="Dubai" w:cs="Dubai"/>
                <w:b w:val="0"/>
                <w:sz w:val="22"/>
                <w:szCs w:val="22"/>
              </w:rPr>
              <w:t>Dr. Abubaker Abdul Rahman Shaffi Al Madani is Consultant Neurologist and Head of the Department of Neurology at Rashid Hospital, and Professor of Neurology at Mohammed Bin Rashid University of Medicine and Health Sciences. Leading that department since 2011, he has built the largest neurology service in the United Arab Emirates, caring for more than 20,000 patients each year across Rashid, Dubai and Latifa Hospitals.</w:t>
            </w:r>
          </w:p>
          <w:p>
            <w:pPr>
              <w:spacing w:after="0"/>
            </w:pPr>
            <w:r>
              <w:rPr>
                <w:rFonts w:ascii="Dubai" w:hAnsi="Dubai" w:cs="Dubai"/>
                <w:b w:val="0"/>
                <w:sz w:val="22"/>
                <w:szCs w:val="22"/>
              </w:rPr>
              <w:t>Under his leadership the department took its stroke programme to German Stroke Society accreditation, gained accreditation as a MENACTRIMS multiple sclerosis centre, and commissioned the 18-bed Neurology and Stroke Unit inaugurated in 2019. It maintains registries in multiple sclerosis, dementia, neuropathy, headache, movement disorders and epilepsy, alongside specialised clinics in neuromuscular medicine, botulinum toxin therapy and deep-brain-stimulation programming.</w:t>
            </w:r>
          </w:p>
          <w:p>
            <w:pPr>
              <w:spacing w:after="0"/>
            </w:pPr>
            <w:r>
              <w:rPr>
                <w:rFonts w:ascii="Dubai" w:hAnsi="Dubai" w:cs="Dubai"/>
                <w:b w:val="0"/>
                <w:sz w:val="22"/>
                <w:szCs w:val="22"/>
              </w:rPr>
              <w:t>He founded Dubai Health's multidisciplinary headache service, extending specialist care to Al Barsha and Nad Al Hamar primary health centres; specialist-referral uptake rose from approximately five percent to nearly fifty, with patient satisfaction of 80 to 90 percent.</w:t>
            </w:r>
          </w:p>
          <w:p>
            <w:pPr>
              <w:spacing w:after="0"/>
            </w:pPr>
            <w:r>
              <w:rPr>
                <w:rFonts w:ascii="Dubai" w:hAnsi="Dubai" w:cs="Dubai"/>
                <w:b w:val="0"/>
                <w:sz w:val="22"/>
                <w:szCs w:val="22"/>
              </w:rPr>
              <w:t>Core faculty of the hospital's neurology residency programme and Vice President of the Emirates Neurology Society, he has authored more than 40 peer-reviewed publications and contributed to the UAE's first national multiple sclerosis treatment guidelines, now in the DHA's Ejadah Programme, and to the UAE Alzheimer's disease national framework.</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بن حرمل الشامسي</w:t>
            </w:r>
          </w:p>
        </w:tc>
        <w:tc>
          <w:tcPr>
            <w:tcW w:type="dxa" w:w="2592"/>
          </w:tcPr>
          <w:p>
            <w:pPr>
              <w:bidi/>
              <w:spacing w:after="0" w:before="0"/>
            </w:pPr>
            <w:r>
              <w:rPr>
                <w:rFonts w:ascii="Dubai" w:hAnsi="Dubai" w:cs="Dubai"/>
                <w:b w:val="0"/>
                <w:sz w:val="22"/>
                <w:szCs w:val="22"/>
                <w:rtl/>
              </w:rPr>
              <w:t>الرئيس التنفيذي لمعهد برجيل للأورام، ورئيس جمعية الإمارات للأورام.</w:t>
            </w:r>
          </w:p>
        </w:tc>
        <w:tc>
          <w:tcPr>
            <w:tcW w:type="dxa" w:w="7488"/>
          </w:tcPr>
          <w:p>
            <w:pPr>
              <w:spacing w:after="0"/>
            </w:pPr>
            <w:r>
              <w:rPr>
                <w:rFonts w:ascii="Dubai" w:hAnsi="Dubai" w:cs="Dubai"/>
                <w:b w:val="0"/>
                <w:sz w:val="22"/>
                <w:szCs w:val="22"/>
              </w:rPr>
              <w:t>Professor Humaid Obaid Al-Shamsi is CEO of Burjeel Cancer Institute and President of the Emirates Oncology Society, with more than 20 years of experience as a consultant oncologist. Since joining Burjeel Holdings in September 2020 he has led the establishment of the UAE's largest comprehensive cancer network, with centres in Abu Dhabi, Sharjah, Al Ain and Al Ruwais, bringing specialised services closer to patients' homes. He provides free consultations to uninsured cancer patients and works with charitable organisations so that support reaches patients wherever they are treated.</w:t>
            </w:r>
          </w:p>
          <w:p>
            <w:pPr>
              <w:spacing w:after="0"/>
            </w:pPr>
            <w:r>
              <w:rPr>
                <w:rFonts w:ascii="Dubai" w:hAnsi="Dubai" w:cs="Dubai"/>
                <w:b w:val="0"/>
                <w:sz w:val="22"/>
                <w:szCs w:val="22"/>
              </w:rPr>
              <w:t>He secured the first and only ESMO accreditation for a UAE cancer centre, and established the nation's foremost comprehensive bone marrow transplant unit, which has completed 160 transplants, more than 50 of them free of charge to international patients from 20 nationalities — accomplished during the peak of the COVID-19 pandemic, when international travel was restricted.</w:t>
            </w:r>
          </w:p>
          <w:p>
            <w:pPr>
              <w:spacing w:after="0"/>
            </w:pPr>
            <w:r>
              <w:rPr>
                <w:rFonts w:ascii="Dubai" w:hAnsi="Dubai" w:cs="Dubai"/>
                <w:b w:val="0"/>
                <w:sz w:val="22"/>
                <w:szCs w:val="22"/>
              </w:rPr>
              <w:t>He contributed to the national rollout of advanced oncology care standards in 2024, to the UAE's National Guideline for Lung Cancer Screening and Diagnosis, and to the National Multidisciplinary Committee for Cancer Case Assessment established under Ministerial Decree No. 20 of 2025. He founded the first hematology and oncology fellowship programme in the UAE's history and is Visiting Professor at Harvard Medical School. In February 2025 he received the Sheikha Fatima bint Mubarak Program for Excellence and Community Intelligence Award in the Distinguished Personality category, presented by His Highness Sheikh Mohamed bin Zayed Al Nahyan, President of the UAE.</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«حياة»: تحويل التبرع بالأعضاء وزراعتها من خلال الابتكار الرقمي.</w:t>
            </w:r>
          </w:p>
        </w:tc>
        <w:tc>
          <w:tcPr>
            <w:tcW w:type="dxa" w:w="2592"/>
          </w:tcPr>
          <w:p>
            <w:pPr>
              <w:bidi/>
              <w:spacing w:after="0" w:before="0"/>
            </w:pPr>
            <w:r>
              <w:rPr>
                <w:rFonts w:ascii="Dubai" w:hAnsi="Dubai" w:cs="Dubai"/>
                <w:b w:val="0"/>
                <w:sz w:val="22"/>
                <w:szCs w:val="22"/>
                <w:rtl/>
              </w:rPr>
              <w:t>وزارة الصحة ووقاية المجتمع – البرنامج الوطني للتبرع بالأعضاء والأنسجة وزراعتها «حياة».</w:t>
            </w:r>
          </w:p>
        </w:tc>
        <w:tc>
          <w:tcPr>
            <w:tcW w:type="dxa" w:w="7488"/>
          </w:tcPr>
          <w:p>
            <w:pPr>
              <w:spacing w:after="0"/>
            </w:pPr>
            <w:r>
              <w:rPr>
                <w:rFonts w:ascii="Dubai" w:hAnsi="Dubai" w:cs="Dubai"/>
                <w:b w:val="0"/>
                <w:sz w:val="22"/>
                <w:szCs w:val="22"/>
              </w:rPr>
              <w:t>HAYAT is the UAE National Program for Organ and Tissue Donation and Transplantation, established under the Ministry of Health and Prevention and implemented with federal and local health authorities, hospitals, transplant centres, laboratories and community partners. It turned organ donation and transplantation from a fragmented service into a nationally coordinated, patient-centred system.</w:t>
            </w:r>
          </w:p>
          <w:p>
            <w:pPr>
              <w:spacing w:after="0"/>
            </w:pPr>
            <w:r>
              <w:rPr>
                <w:rFonts w:ascii="Dubai" w:hAnsi="Dubai" w:cs="Dubai"/>
                <w:b w:val="0"/>
                <w:sz w:val="22"/>
                <w:szCs w:val="22"/>
              </w:rPr>
              <w:t>Its central achievement is the HAYAT National Organ Donation and Transplant Coordination Ecosystem, the first model of its kind in the region, which brings governance, legislation, clinical pathways, operational processes, information exchange, quality management and public engagement into a single national framework. Rather than concentrating on transplantation activity alone, the programme redesigned the whole pathway, aligning donor hospitals, transplant centres, histocompatibility laboratories, regulators and community partners through standardised clinical pathways and transparent allocation.</w:t>
            </w:r>
          </w:p>
          <w:p>
            <w:pPr>
              <w:spacing w:after="0"/>
            </w:pPr>
            <w:r>
              <w:rPr>
                <w:rFonts w:ascii="Dubai" w:hAnsi="Dubai" w:cs="Dubai"/>
                <w:b w:val="0"/>
                <w:sz w:val="22"/>
                <w:szCs w:val="22"/>
              </w:rPr>
              <w:t>The programme has raised the deceased-donor rate to nearly 14 per million population and gathered more than 35,000 donor pledges, supported by digital dashboards, workforce development, quality assurance and international collaboration. It extends to interventions not covered by insurance, in the interest of equitable access.</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من الرؤية إلى الواقع: بناء مركز تميّز لعلاج الحروق في دولة الإمارات العربية المتحدة.</w:t>
            </w:r>
          </w:p>
        </w:tc>
        <w:tc>
          <w:tcPr>
            <w:tcW w:type="dxa" w:w="2592"/>
          </w:tcPr>
          <w:p>
            <w:pPr>
              <w:bidi/>
              <w:spacing w:after="0" w:before="0"/>
            </w:pPr>
            <w:r>
              <w:rPr>
                <w:rFonts w:ascii="Dubai" w:hAnsi="Dubai" w:cs="Dubai"/>
                <w:b w:val="0"/>
                <w:sz w:val="22"/>
                <w:szCs w:val="22"/>
                <w:rtl/>
              </w:rPr>
              <w:t>قسم الحروق – مدينة الشيخ شخبوط الطبية، أبوظبي.</w:t>
            </w:r>
          </w:p>
        </w:tc>
        <w:tc>
          <w:tcPr>
            <w:tcW w:type="dxa" w:w="7488"/>
          </w:tcPr>
          <w:p>
            <w:pPr>
              <w:spacing w:after="0"/>
            </w:pPr>
            <w:r>
              <w:rPr>
                <w:rFonts w:ascii="Dubai" w:hAnsi="Dubai" w:cs="Dubai"/>
                <w:b w:val="0"/>
                <w:sz w:val="22"/>
                <w:szCs w:val="22"/>
              </w:rPr>
              <w:t>The Burn Center of Excellence at Sheikh Shakhbout Medical City is Abu Dhabi's first, built around the goal of American Burn Association accreditation and a multidisciplinary model of specialised burn care for the UAE and the wider region.</w:t>
            </w:r>
          </w:p>
          <w:p>
            <w:pPr>
              <w:spacing w:after="0"/>
            </w:pPr>
            <w:r>
              <w:rPr>
                <w:rFonts w:ascii="Dubai" w:hAnsi="Dubai" w:cs="Dubai"/>
                <w:b w:val="0"/>
                <w:sz w:val="22"/>
                <w:szCs w:val="22"/>
              </w:rPr>
              <w:t>The centre brought care together under one roof: advanced temporary skin substitutes, clinical pathways aligned to ABA standards, specialised rehabilitation, psychosocial support, and reimbursement and charitable pathways for the long-term care burn survivors need. Traditional pathways were re-engineered around real-time quality dashboards, and staffing was rebuilt as a cross-trained workforce able to deliver high-acuity burn care, intensive rehabilitation and psychosocial support together. International collaborations brought simulation-based training designed for the particular demands of burn injury, and the centre helped establish Abu Dhabi's first coordinated burn referral network.</w:t>
            </w:r>
          </w:p>
          <w:p>
            <w:pPr>
              <w:spacing w:after="0"/>
            </w:pPr>
            <w:r>
              <w:rPr>
                <w:rFonts w:ascii="Dubai" w:hAnsi="Dubai" w:cs="Dubai"/>
                <w:b w:val="0"/>
                <w:sz w:val="22"/>
                <w:szCs w:val="22"/>
              </w:rPr>
              <w:t>Patient numbers have grown by approximately 40 percent, with a mortality rate of 1.4 percent in 2025 and 1.3 percent for January to August 2026, and 95 percent of patients discharged home. A partnership with Ma'an supports treatment for people without insurance. American Burn Association verification is planned for 2027.</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