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  <w:bidi w:val="1"/>
      </w:pPr>
      <w:r>
        <w:rPr>
          <w:rFonts w:ascii="Amiri" w:hAnsi="Amiri" w:cs="Amiri" w:eastAsia="Amiri"/>
          <w:b/>
          <w:sz w:val="24"/>
        </w:rPr>
        <w:t>دولة قطر</w:t>
      </w:r>
    </w:p>
    <w:p>
      <w:pPr>
        <w:spacing w:after="20"/>
        <w:jc w:val="center"/>
        <w:bidi w:val="1"/>
      </w:pPr>
      <w:r>
        <w:rPr>
          <w:rFonts w:ascii="Amiri" w:hAnsi="Amiri" w:cs="Amiri" w:eastAsia="Amiri"/>
          <w:b/>
          <w:color w:val="294B62"/>
          <w:sz w:val="28"/>
        </w:rPr>
        <w:t>شركة العراف لتأجير السيارات (ذ.م.م)</w:t>
      </w:r>
    </w:p>
    <w:p>
      <w:pPr>
        <w:spacing w:after="200"/>
        <w:jc w:val="center"/>
        <w:bidi w:val="1"/>
      </w:pPr>
      <w:r>
        <w:rPr>
          <w:rFonts w:ascii="Amiri" w:hAnsi="Amiri" w:cs="Amiri" w:eastAsia="Amiri"/>
          <w:b w:val="0"/>
          <w:sz w:val="20"/>
        </w:rPr>
        <w:t>شركة ذات مسؤولية محدودة — سجل تجاري رقم: (146832) — رأس المال: 2,000 ريال قطري</w:t>
      </w:r>
    </w:p>
    <w:p>
      <w:pPr>
        <w:spacing w:after="40"/>
        <w:jc w:val="center"/>
        <w:bidi w:val="1"/>
      </w:pPr>
      <w:r>
        <w:rPr>
          <w:rFonts w:ascii="Amiri" w:hAnsi="Amiri" w:cs="Amiri" w:eastAsia="Amiri"/>
          <w:b/>
          <w:color w:val="294B62"/>
          <w:sz w:val="26"/>
        </w:rPr>
        <w:t>محضر اجتماع الجمعية العامة غير العادية للشركاء</w:t>
      </w:r>
    </w:p>
    <w:p>
      <w:pPr>
        <w:spacing w:after="200"/>
        <w:jc w:val="center"/>
        <w:bidi w:val="1"/>
      </w:pPr>
      <w:r>
        <w:rPr>
          <w:rFonts w:ascii="Amiri" w:hAnsi="Amiri" w:cs="Amiri" w:eastAsia="Amiri"/>
          <w:b/>
          <w:sz w:val="22"/>
        </w:rPr>
        <w:t>بشأن: حل الشركة وطلب التصفية القضائية وإشهار الإفلاس وتفويض الشريك المدير</w:t>
      </w:r>
    </w:p>
    <w:p>
      <w:pPr>
        <w:spacing w:after="80"/>
        <w:jc w:val="right"/>
        <w:bidi w:val="1"/>
      </w:pPr>
      <w:r>
        <w:rPr>
          <w:rFonts w:ascii="Amiri" w:hAnsi="Amiri" w:cs="Amiri" w:eastAsia="Amiri"/>
          <w:b w:val="0"/>
          <w:sz w:val="22"/>
        </w:rPr>
        <w:t>اجتمع الشركاء في شركة العراف لتأجير السيارات (ذ.م.م) بكامل نصاب رأس المال، برئاسة الشريك والمدير المفوض السيد / خميس الجبر.</w:t>
      </w:r>
    </w:p>
    <w:p>
      <w:pPr>
        <w:spacing w:after="80"/>
        <w:jc w:val="right"/>
        <w:bidi w:val="1"/>
      </w:pPr>
      <w:r>
        <w:rPr>
          <w:rFonts w:ascii="Amiri" w:hAnsi="Amiri" w:cs="Amiri" w:eastAsia="Amiri"/>
          <w:b/>
          <w:color w:val="294B62"/>
          <w:sz w:val="23"/>
        </w:rPr>
        <w:t>أولاً: أسباب الانعقاد والتعثر المالي:</w:t>
      </w:r>
    </w:p>
    <w:p>
      <w:pPr>
        <w:spacing w:after="80"/>
        <w:jc w:val="right"/>
        <w:bidi w:val="1"/>
      </w:pPr>
      <w:r>
        <w:rPr>
          <w:rFonts w:ascii="Amiri" w:hAnsi="Amiri" w:cs="Amiri" w:eastAsia="Amiri"/>
          <w:b w:val="0"/>
          <w:sz w:val="22"/>
        </w:rPr>
        <w:t>نظراً للتعثر المالي وتجاوز إجمالي الالتزامات والديون القائمة (7,630,490.59 ريال قطري) لإجمالي أصول الشركة المتاحة، وتحقيق عجز في حقوق الملكية قدره (-183,976.28 ريال قطري)، وتوقف الشركة عن سداد التزاماتها التمويلية للوكلاء؛ وعملاً بأحكام قانون الشركات التجارية وقانون التجارة رقم (27) لسنة 2006 المنظم للإفلاس والتصفية؛ فقد قرر الشركاء بالإجماع:</w:t>
      </w:r>
    </w:p>
    <w:p>
      <w:pPr>
        <w:spacing w:after="80"/>
        <w:jc w:val="right"/>
        <w:bidi w:val="1"/>
      </w:pPr>
      <w:r>
        <w:rPr>
          <w:rFonts w:ascii="Amiri" w:hAnsi="Amiri" w:cs="Amiri" w:eastAsia="Amiri"/>
          <w:b/>
          <w:color w:val="294B62"/>
          <w:sz w:val="23"/>
        </w:rPr>
        <w:t>ثانياً: قرارات الشركاء بالإجماع:</w:t>
      </w:r>
    </w:p>
    <w:p>
      <w:pPr>
        <w:spacing w:after="80"/>
        <w:jc w:val="right"/>
        <w:bidi w:val="1"/>
      </w:pPr>
      <w:r>
        <w:rPr>
          <w:rFonts w:ascii="Amiri" w:hAnsi="Amiri" w:cs="Amiri" w:eastAsia="Amiri"/>
          <w:b w:val="0"/>
          <w:sz w:val="22"/>
        </w:rPr>
        <w:t>1. الموافقة بالإجماع على حل الشركة واللجوء إلى محكمة الاستثمار والتجارة لقيد دعوى إشهار الإفلاس وافتتاح إجراءات التصفية القضائية وتعيين أمين تفليسة.</w:t>
      </w:r>
    </w:p>
    <w:p>
      <w:pPr>
        <w:spacing w:after="80"/>
        <w:jc w:val="right"/>
        <w:bidi w:val="1"/>
      </w:pPr>
      <w:r>
        <w:rPr>
          <w:rFonts w:ascii="Amiri" w:hAnsi="Amiri" w:cs="Amiri" w:eastAsia="Amiri"/>
          <w:b w:val="0"/>
          <w:sz w:val="22"/>
        </w:rPr>
        <w:t>2. تفويض الشريك المدير السيد / خميس الجبر تفويضاً تاماً ومطلقاً في تمثيل الشركة، وتوكيل المحامين، والتوقيع على صحف الدعاوى، والمصادقة على القوائم المالية، ومراجعة كافة الجهات الرسمية والتأشير بالسجل التجاري.</w:t>
      </w:r>
    </w:p>
    <w:p>
      <w:pPr>
        <w:spacing w:after="80"/>
        <w:jc w:val="right"/>
        <w:bidi w:val="1"/>
      </w:pPr>
      <w:r>
        <w:rPr>
          <w:rFonts w:ascii="Amiri" w:hAnsi="Amiri" w:cs="Amiri" w:eastAsia="Amiri"/>
          <w:b w:val="0"/>
          <w:sz w:val="22"/>
        </w:rPr>
        <w:t>3. اعتماد وتثبيت حزمة القوائم المالية والمذكرة الإيضاحية وكشوف الأصول والالتزامات المعتمدة برقم (4329bfef-ab4f-4b86) كمرجع رسمي للدعوى.</w:t>
      </w:r>
    </w:p>
    <w:p>
      <w:pPr>
        <w:spacing w:after="320"/>
        <w:jc w:val="right"/>
        <w:bidi w:val="1"/>
      </w:pPr>
      <w:r>
        <w:rPr>
          <w:rFonts w:ascii="Amiri" w:hAnsi="Amiri" w:cs="Amiri" w:eastAsia="Amiri"/>
          <w:b w:val="0"/>
          <w:sz w:val="22"/>
        </w:rPr>
      </w:r>
    </w:p>
    <w:p>
      <w:pPr>
        <w:spacing w:after="80"/>
        <w:jc w:val="right"/>
        <w:bidi w:val="1"/>
      </w:pPr>
      <w:r>
        <w:rPr>
          <w:rFonts w:ascii="Amiri" w:hAnsi="Amiri" w:cs="Amiri" w:eastAsia="Amiri"/>
          <w:b/>
          <w:color w:val="294B62"/>
          <w:sz w:val="23"/>
        </w:rPr>
        <w:t>توقيعات الشركاء:</w:t>
      </w:r>
    </w:p>
    <w:p>
      <w:pPr>
        <w:spacing w:after="80"/>
        <w:jc w:val="right"/>
        <w:bidi w:val="1"/>
      </w:pPr>
      <w:r>
        <w:rPr>
          <w:rFonts w:ascii="Amiri" w:hAnsi="Amiri" w:cs="Amiri" w:eastAsia="Amiri"/>
          <w:b w:val="0"/>
          <w:sz w:val="22"/>
        </w:rPr>
        <w:t>الشريك والمدير المفوض: خميس الجبر               التوقيع: .......................................</w:t>
      </w:r>
    </w:p>
    <w:p>
      <w:pPr>
        <w:spacing w:after="80"/>
        <w:jc w:val="right"/>
        <w:bidi w:val="1"/>
      </w:pPr>
      <w:r>
        <w:rPr>
          <w:rFonts w:ascii="Amiri" w:hAnsi="Amiri" w:cs="Amiri" w:eastAsia="Amiri"/>
          <w:b w:val="0"/>
          <w:sz w:val="22"/>
        </w:rPr>
        <w:t>عن شركة العراف لتأجير السيارات:                  الختم: .......................................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