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bidi w:val="1"/>
      </w:pPr>
      <w:r>
        <w:rPr>
          <w:rFonts w:ascii="Amiri" w:hAnsi="Amiri" w:cs="Amiri" w:eastAsia="Amiri"/>
          <w:b/>
          <w:sz w:val="24"/>
        </w:rPr>
        <w:t>دولة قطر</w:t>
      </w:r>
    </w:p>
    <w:p>
      <w:pPr>
        <w:spacing w:after="280" w:line="276" w:lineRule="auto"/>
        <w:jc w:val="center"/>
        <w:bidi w:val="1"/>
      </w:pPr>
      <w:r>
        <w:rPr>
          <w:rFonts w:ascii="Amiri" w:hAnsi="Amiri" w:cs="Amiri" w:eastAsia="Amiri"/>
          <w:b/>
          <w:color w:val="294B62"/>
          <w:sz w:val="26"/>
        </w:rPr>
        <w:t>محكمة الاستثمار والتجارة — دائرة الإفلاس والتصفية</w:t>
      </w:r>
    </w:p>
    <w:tbl>
      <w:tblPr>
        <w:tblW w:type="auto" w:w="0"/>
        <w:jc w:val="center"/>
        <w:tblLook w:firstColumn="1" w:firstRow="1" w:lastColumn="0" w:lastRow="0" w:noHBand="0" w:noVBand="1" w:val="04A0"/>
        <w:bidiVisual/>
      </w:tblPr>
      <w:tblGrid>
        <w:gridCol w:w="9972"/>
      </w:tblGrid>
      <w:tr>
        <w:tc>
          <w:tcPr>
            <w:tcW w:type="dxa" w:w="9972"/>
            <w:shd w:fill="EDF2F7"/>
            <w:tcMar>
              <w:top w:w="150" w:type="dxa"/>
              <w:bottom w:w="150" w:type="dxa"/>
              <w:left w:w="140" w:type="dxa"/>
              <w:right w:w="140" w:type="dxa"/>
            </w:tcMar>
            <w:vAlign w:val="center"/>
          </w:tcPr>
          <w:p>
            <w:pPr>
              <w:spacing w:after="40" w:line="276" w:lineRule="auto"/>
              <w:jc w:val="center"/>
              <w:bidi w:val="1"/>
            </w:pPr>
            <w:r>
              <w:rPr>
                <w:rFonts w:ascii="Amiri" w:hAnsi="Amiri" w:cs="Amiri" w:eastAsia="Amiri"/>
                <w:b/>
                <w:color w:val="294B62"/>
                <w:sz w:val="30"/>
              </w:rPr>
              <w:t>مذكرة إيضاحية ومستندات محاسبية مؤيدة</w:t>
            </w:r>
          </w:p>
          <w:p>
            <w:pPr>
              <w:spacing w:after="40" w:line="276" w:lineRule="auto"/>
              <w:jc w:val="center"/>
              <w:bidi w:val="1"/>
            </w:pPr>
            <w:r>
              <w:rPr>
                <w:rFonts w:ascii="Amiri" w:hAnsi="Amiri" w:cs="Amiri" w:eastAsia="Amiri"/>
                <w:b/>
                <w:sz w:val="24"/>
              </w:rPr>
              <w:t>مقدمة إلى السيد أمين التفليسة المحترم في شأن تصفية شركة العراف لتأجير السيارات (ذ.م.م)</w:t>
            </w:r>
          </w:p>
        </w:tc>
      </w:tr>
    </w:tbl>
    <w:p>
      <w:pPr>
        <w:spacing w:after="160" w:line="276" w:lineRule="auto"/>
        <w:jc w:val="right"/>
        <w:bidi w:val="1"/>
      </w:pPr>
      <w:r>
        <w:rPr>
          <w:rFonts w:ascii="Amiri" w:hAnsi="Amiri" w:cs="Amiri" w:eastAsia="Amiri"/>
          <w:b w:val="0"/>
          <w:sz w:val="22"/>
        </w:rPr>
      </w:r>
    </w:p>
    <w:tbl>
      <w:tblPr>
        <w:tblW w:type="auto" w:w="0"/>
        <w:jc w:val="center"/>
        <w:tblLook w:firstColumn="1" w:firstRow="1" w:lastColumn="0" w:lastRow="0" w:noHBand="0" w:noVBand="1" w:val="04A0"/>
        <w:bidiVisual/>
      </w:tblPr>
      <w:tblGrid>
        <w:gridCol w:w="4986"/>
        <w:gridCol w:w="4986"/>
      </w:tblGrid>
      <w:tr>
        <w:tc>
          <w:tcPr>
            <w:tcW w:type="dxa" w:w="2835"/>
            <w:shd w:fill="F2F5F9"/>
            <w:tcMar>
              <w:top w:w="80" w:type="dxa"/>
              <w:bottom w:w="80" w:type="dxa"/>
              <w:left w:w="140" w:type="dxa"/>
              <w:right w:w="140" w:type="dxa"/>
            </w:tcMar>
            <w:vAlign w:val="center"/>
          </w:tcPr>
          <w:p>
            <w:pPr>
              <w:spacing w:after="40" w:line="276" w:lineRule="auto"/>
              <w:jc w:val="right"/>
              <w:bidi w:val="1"/>
            </w:pPr>
            <w:r>
              <w:rPr>
                <w:rFonts w:ascii="Amiri" w:hAnsi="Amiri" w:cs="Amiri" w:eastAsia="Amiri"/>
                <w:b/>
                <w:color w:val="294B62"/>
                <w:sz w:val="21"/>
              </w:rPr>
              <w:t>المنشأة طالبة الإشهار:</w:t>
            </w:r>
          </w:p>
        </w:tc>
        <w:tc>
          <w:tcPr>
            <w:tcW w:type="dxa" w:w="6803"/>
            <w:tcMar>
              <w:top w:w="80" w:type="dxa"/>
              <w:bottom w:w="80" w:type="dxa"/>
              <w:left w:w="140" w:type="dxa"/>
              <w:right w:w="140" w:type="dxa"/>
            </w:tcMar>
            <w:vAlign w:val="center"/>
          </w:tcPr>
          <w:p>
            <w:pPr>
              <w:spacing w:after="40" w:line="276" w:lineRule="auto"/>
              <w:jc w:val="right"/>
              <w:bidi w:val="1"/>
            </w:pPr>
            <w:r>
              <w:rPr>
                <w:rFonts w:ascii="Amiri" w:hAnsi="Amiri" w:cs="Amiri" w:eastAsia="Amiri"/>
                <w:b w:val="0"/>
                <w:sz w:val="21"/>
              </w:rPr>
              <w:t>شركة العراف لتأجير السيارات ذ.م.م (سجل تجاري رقم 146832)</w:t>
            </w:r>
          </w:p>
        </w:tc>
      </w:tr>
      <w:tr>
        <w:tc>
          <w:tcPr>
            <w:tcW w:type="dxa" w:w="2835"/>
            <w:shd w:fill="F2F5F9"/>
            <w:tcMar>
              <w:top w:w="80" w:type="dxa"/>
              <w:bottom w:w="80" w:type="dxa"/>
              <w:left w:w="140" w:type="dxa"/>
              <w:right w:w="140" w:type="dxa"/>
            </w:tcMar>
            <w:vAlign w:val="center"/>
          </w:tcPr>
          <w:p>
            <w:pPr>
              <w:spacing w:after="40" w:line="276" w:lineRule="auto"/>
              <w:jc w:val="right"/>
              <w:bidi w:val="1"/>
            </w:pPr>
            <w:r>
              <w:rPr>
                <w:rFonts w:ascii="Amiri" w:hAnsi="Amiri" w:cs="Amiri" w:eastAsia="Amiri"/>
                <w:b/>
                <w:color w:val="294B62"/>
                <w:sz w:val="21"/>
              </w:rPr>
              <w:t>المفوض بالتوقيع والإدارة:</w:t>
            </w:r>
          </w:p>
        </w:tc>
        <w:tc>
          <w:tcPr>
            <w:tcW w:type="dxa" w:w="6803"/>
            <w:tcMar>
              <w:top w:w="80" w:type="dxa"/>
              <w:bottom w:w="80" w:type="dxa"/>
              <w:left w:w="140" w:type="dxa"/>
              <w:right w:w="140" w:type="dxa"/>
            </w:tcMar>
            <w:vAlign w:val="center"/>
          </w:tcPr>
          <w:p>
            <w:pPr>
              <w:spacing w:after="40" w:line="276" w:lineRule="auto"/>
              <w:jc w:val="right"/>
              <w:bidi w:val="1"/>
            </w:pPr>
            <w:r>
              <w:rPr>
                <w:rFonts w:ascii="Amiri" w:hAnsi="Amiri" w:cs="Amiri" w:eastAsia="Amiri"/>
                <w:b w:val="0"/>
                <w:sz w:val="21"/>
              </w:rPr>
              <w:t>خميس الجبر — الشريك المفوض</w:t>
            </w:r>
          </w:p>
        </w:tc>
      </w:tr>
      <w:tr>
        <w:tc>
          <w:tcPr>
            <w:tcW w:type="dxa" w:w="2835"/>
            <w:shd w:fill="F2F5F9"/>
            <w:tcMar>
              <w:top w:w="80" w:type="dxa"/>
              <w:bottom w:w="80" w:type="dxa"/>
              <w:left w:w="140" w:type="dxa"/>
              <w:right w:w="140" w:type="dxa"/>
            </w:tcMar>
            <w:vAlign w:val="center"/>
          </w:tcPr>
          <w:p>
            <w:pPr>
              <w:spacing w:after="40" w:line="276" w:lineRule="auto"/>
              <w:jc w:val="right"/>
              <w:bidi w:val="1"/>
            </w:pPr>
            <w:r>
              <w:rPr>
                <w:rFonts w:ascii="Amiri" w:hAnsi="Amiri" w:cs="Amiri" w:eastAsia="Amiri"/>
                <w:b/>
                <w:color w:val="294B62"/>
                <w:sz w:val="21"/>
              </w:rPr>
              <w:t>المرجع المحاسبي المعتمد:</w:t>
            </w:r>
          </w:p>
        </w:tc>
        <w:tc>
          <w:tcPr>
            <w:tcW w:type="dxa" w:w="6803"/>
            <w:tcMar>
              <w:top w:w="80" w:type="dxa"/>
              <w:bottom w:w="80" w:type="dxa"/>
              <w:left w:w="140" w:type="dxa"/>
              <w:right w:w="140" w:type="dxa"/>
            </w:tcMar>
            <w:vAlign w:val="center"/>
          </w:tcPr>
          <w:p>
            <w:pPr>
              <w:spacing w:after="40" w:line="276" w:lineRule="auto"/>
              <w:jc w:val="right"/>
              <w:bidi w:val="1"/>
            </w:pPr>
            <w:r>
              <w:rPr>
                <w:rFonts w:ascii="Amiri" w:hAnsi="Amiri" w:cs="Amiri" w:eastAsia="Amiri"/>
                <w:b w:val="0"/>
                <w:sz w:val="21"/>
              </w:rPr>
              <w:t>حزمة القوائم المالية الرسمية المعتمدة بالنظام رقم 4329bfef-ab4f-4b86-a1b8-6315f762e0e1</w:t>
            </w:r>
          </w:p>
        </w:tc>
      </w:tr>
      <w:tr>
        <w:tc>
          <w:tcPr>
            <w:tcW w:type="dxa" w:w="2835"/>
            <w:shd w:fill="F2F5F9"/>
            <w:tcMar>
              <w:top w:w="80" w:type="dxa"/>
              <w:bottom w:w="80" w:type="dxa"/>
              <w:left w:w="140" w:type="dxa"/>
              <w:right w:w="140" w:type="dxa"/>
            </w:tcMar>
            <w:vAlign w:val="center"/>
          </w:tcPr>
          <w:p>
            <w:pPr>
              <w:spacing w:after="40" w:line="276" w:lineRule="auto"/>
              <w:jc w:val="right"/>
              <w:bidi w:val="1"/>
            </w:pPr>
            <w:r>
              <w:rPr>
                <w:rFonts w:ascii="Amiri" w:hAnsi="Amiri" w:cs="Amiri" w:eastAsia="Amiri"/>
                <w:b/>
                <w:color w:val="294B62"/>
                <w:sz w:val="21"/>
              </w:rPr>
              <w:t>تاريخ قطع القوائم والمركز المالي:</w:t>
            </w:r>
          </w:p>
        </w:tc>
        <w:tc>
          <w:tcPr>
            <w:tcW w:type="dxa" w:w="6803"/>
            <w:tcMar>
              <w:top w:w="80" w:type="dxa"/>
              <w:bottom w:w="80" w:type="dxa"/>
              <w:left w:w="140" w:type="dxa"/>
              <w:right w:w="140" w:type="dxa"/>
            </w:tcMar>
            <w:vAlign w:val="center"/>
          </w:tcPr>
          <w:p>
            <w:pPr>
              <w:spacing w:after="40" w:line="276" w:lineRule="auto"/>
              <w:jc w:val="right"/>
              <w:bidi w:val="1"/>
            </w:pPr>
            <w:r>
              <w:rPr>
                <w:rFonts w:ascii="Amiri" w:hAnsi="Amiri" w:cs="Amiri" w:eastAsia="Amiri"/>
                <w:b w:val="0"/>
                <w:sz w:val="21"/>
              </w:rPr>
              <w:t>كما في 30 سبتمبر 2026 ومقارنة 31 ديسمبر 2025</w:t>
            </w:r>
          </w:p>
        </w:tc>
      </w:tr>
      <w:tr>
        <w:tc>
          <w:tcPr>
            <w:tcW w:type="dxa" w:w="2835"/>
            <w:shd w:fill="F2F5F9"/>
            <w:tcMar>
              <w:top w:w="80" w:type="dxa"/>
              <w:bottom w:w="80" w:type="dxa"/>
              <w:left w:w="140" w:type="dxa"/>
              <w:right w:w="140" w:type="dxa"/>
            </w:tcMar>
            <w:vAlign w:val="center"/>
          </w:tcPr>
          <w:p>
            <w:pPr>
              <w:spacing w:after="40" w:line="276" w:lineRule="auto"/>
              <w:jc w:val="right"/>
              <w:bidi w:val="1"/>
            </w:pPr>
            <w:r>
              <w:rPr>
                <w:rFonts w:ascii="Amiri" w:hAnsi="Amiri" w:cs="Amiri" w:eastAsia="Amiri"/>
                <w:b/>
                <w:color w:val="294B62"/>
                <w:sz w:val="21"/>
              </w:rPr>
              <w:t>موضوع المذكرة:</w:t>
            </w:r>
          </w:p>
        </w:tc>
        <w:tc>
          <w:tcPr>
            <w:tcW w:type="dxa" w:w="6803"/>
            <w:tcMar>
              <w:top w:w="80" w:type="dxa"/>
              <w:bottom w:w="80" w:type="dxa"/>
              <w:left w:w="140" w:type="dxa"/>
              <w:right w:w="140" w:type="dxa"/>
            </w:tcMar>
            <w:vAlign w:val="center"/>
          </w:tcPr>
          <w:p>
            <w:pPr>
              <w:spacing w:after="40" w:line="276" w:lineRule="auto"/>
              <w:jc w:val="right"/>
              <w:bidi w:val="1"/>
            </w:pPr>
            <w:r>
              <w:rPr>
                <w:rFonts w:ascii="Amiri" w:hAnsi="Amiri" w:cs="Amiri" w:eastAsia="Amiri"/>
                <w:b w:val="0"/>
                <w:sz w:val="21"/>
              </w:rPr>
              <w:t>توثيق مسار السيولة النقدية، سداد أقساط تمويل السيارات، تسويات الحساب 11211، وحصر الأسطول</w:t>
            </w:r>
          </w:p>
        </w:tc>
      </w:tr>
    </w:tbl>
    <w:p>
      <w:pPr>
        <w:spacing w:after="200" w:line="276" w:lineRule="auto"/>
        <w:jc w:val="right"/>
        <w:bidi w:val="1"/>
      </w:pPr>
      <w:r>
        <w:rPr>
          <w:rFonts w:ascii="Amiri" w:hAnsi="Amiri" w:cs="Amiri" w:eastAsia="Amiri"/>
          <w:b w:val="0"/>
          <w:sz w:val="22"/>
        </w:rPr>
      </w:r>
    </w:p>
    <w:p>
      <w:pPr>
        <w:spacing w:after="120" w:line="276" w:lineRule="auto" w:before="240"/>
        <w:jc w:val="right"/>
        <w:keepNext/>
        <w:bidi w:val="1"/>
      </w:pPr>
      <w:r>
        <w:rPr>
          <w:rFonts w:ascii="Amiri" w:hAnsi="Amiri" w:cs="Amiri" w:eastAsia="Amiri"/>
          <w:b/>
          <w:color w:val="294B62"/>
          <w:sz w:val="30"/>
        </w:rPr>
        <w:t>أولاً: الاختصاص وصفة مقدم الطلب</w:t>
      </w:r>
    </w:p>
    <w:p>
      <w:pPr>
        <w:spacing w:after="80" w:line="276" w:lineRule="auto"/>
        <w:jc w:val="right"/>
        <w:bidi w:val="1"/>
      </w:pPr>
      <w:r>
        <w:rPr>
          <w:rFonts w:ascii="Amiri" w:hAnsi="Amiri" w:cs="Amiri" w:eastAsia="Amiri"/>
          <w:b w:val="0"/>
          <w:sz w:val="22"/>
        </w:rPr>
        <w:t>تنعقد ولاية نظر هذا الطلب لمحكمة الاستثمار والتجارة عملاً بأحكام قانون التجارة وقانون الإفلاس والتصفية في دولة قطر؛ حيث تبين تعثر المنشأة عن الوفاء بالتزاماتها المالية والتجارية وتجاوز الالتزامات لإجمالي الأصول وحقوق الملكية، مما يتعين معه افتتاح إجراءات الإفلاس وتعيين أمين التفليسة لمباشرة الحصر والتسييل وفقاً للأولويات القانونية.</w:t>
      </w:r>
    </w:p>
    <w:p>
      <w:pPr>
        <w:spacing w:after="120" w:line="276" w:lineRule="auto" w:before="240"/>
        <w:jc w:val="right"/>
        <w:keepNext/>
        <w:bidi w:val="1"/>
      </w:pPr>
      <w:r>
        <w:rPr>
          <w:rFonts w:ascii="Amiri" w:hAnsi="Amiri" w:cs="Amiri" w:eastAsia="Amiri"/>
          <w:b/>
          <w:color w:val="294B62"/>
          <w:sz w:val="30"/>
        </w:rPr>
        <w:t>ثانياً: مسار السيولة النقدية ومطابقة رصيد الصندوق الدفتري (1,635,553.61 ر.ق)</w:t>
      </w:r>
    </w:p>
    <w:p>
      <w:pPr>
        <w:spacing w:after="80" w:line="276" w:lineRule="auto"/>
        <w:jc w:val="right"/>
        <w:bidi w:val="1"/>
      </w:pPr>
      <w:r>
        <w:rPr>
          <w:rFonts w:ascii="Amiri" w:hAnsi="Amiri" w:cs="Amiri" w:eastAsia="Amiri"/>
          <w:b/>
          <w:color w:val="294B62"/>
          <w:sz w:val="22"/>
        </w:rPr>
        <w:t>1. الرصيد الدفتري الظاهر بالقوائم المالية المعتمدة:</w:t>
      </w:r>
      <w:r>
        <w:rPr>
          <w:rFonts w:ascii="Amiri" w:hAnsi="Amiri" w:cs="Amiri" w:eastAsia="Amiri"/>
          <w:b w:val="0"/>
          <w:sz w:val="22"/>
        </w:rPr>
      </w:r>
    </w:p>
    <w:p>
      <w:pPr>
        <w:spacing w:after="80" w:line="276" w:lineRule="auto"/>
        <w:jc w:val="right"/>
        <w:bidi w:val="1"/>
      </w:pPr>
      <w:r>
        <w:rPr>
          <w:rFonts w:ascii="Amiri" w:hAnsi="Amiri" w:cs="Amiri" w:eastAsia="Amiri"/>
          <w:b w:val="0"/>
          <w:sz w:val="22"/>
        </w:rPr>
        <w:t>يظهر ميزان المراجعة وقائمة المركز المالي رصيداً نقدياً دفترياً يبلغ 1,635,553.61 ريال قطري (صندوق الفرع الرئيسي 11111: 1,251,027.63 ريال + حساب النقدية 1010: 384,525.98 ريال). هذا الرصيد ناتج عن الإيرادات المقبوضة نقداً من المستأجرين خلال فترات النشاط التشغيلي.</w:t>
      </w:r>
    </w:p>
    <w:p>
      <w:pPr>
        <w:spacing w:after="80" w:line="276" w:lineRule="auto"/>
        <w:jc w:val="right"/>
        <w:bidi w:val="1"/>
      </w:pPr>
      <w:r>
        <w:rPr>
          <w:rFonts w:ascii="Amiri" w:hAnsi="Amiri" w:cs="Amiri" w:eastAsia="Amiri"/>
          <w:b/>
          <w:color w:val="294B62"/>
          <w:sz w:val="22"/>
        </w:rPr>
        <w:t>2. واقع الصرف وسداد أقساط سيارات الأسطول (3,286,706.00 ر.ق):</w:t>
      </w:r>
      <w:r>
        <w:rPr>
          <w:rFonts w:ascii="Amiri" w:hAnsi="Amiri" w:cs="Amiri" w:eastAsia="Amiri"/>
          <w:b w:val="0"/>
          <w:sz w:val="22"/>
        </w:rPr>
      </w:r>
    </w:p>
    <w:p>
      <w:pPr>
        <w:spacing w:after="80" w:line="276" w:lineRule="auto"/>
        <w:jc w:val="right"/>
        <w:bidi w:val="1"/>
      </w:pPr>
      <w:r>
        <w:rPr>
          <w:rFonts w:ascii="Amiri" w:hAnsi="Amiri" w:cs="Amiri" w:eastAsia="Amiri"/>
          <w:b w:val="0"/>
          <w:sz w:val="22"/>
        </w:rPr>
        <w:t>أثبت الفحص الشامل للدفاتر والسجلات المرحّلة أن الشركة قامت بالفعل بسداد عدد 163 قسطاً تمويلياً بإجمالي مبلغ 3,286,706.00 ريال قطري لصالح وكلاء وممولي السيارات (شركة الأولى للتمويل، البنك التجاري، شركة آل طالب، وإيلاف أوتو).</w:t>
      </w:r>
    </w:p>
    <w:p>
      <w:pPr>
        <w:spacing w:after="80" w:line="276" w:lineRule="auto"/>
        <w:jc w:val="right"/>
        <w:bidi w:val="1"/>
      </w:pPr>
      <w:r>
        <w:rPr>
          <w:rFonts w:ascii="Amiri" w:hAnsi="Amiri" w:cs="Amiri" w:eastAsia="Amiri"/>
          <w:b/>
          <w:color w:val="294B62"/>
          <w:sz w:val="22"/>
        </w:rPr>
        <w:t>3. العلة المحاسبية لظهور الرصيد في الصندوق ومنع تكرار القيد:</w:t>
      </w:r>
      <w:r>
        <w:rPr>
          <w:rFonts w:ascii="Amiri" w:hAnsi="Amiri" w:cs="Amiri" w:eastAsia="Amiri"/>
          <w:b w:val="0"/>
          <w:sz w:val="22"/>
        </w:rPr>
      </w:r>
    </w:p>
    <w:p>
      <w:pPr>
        <w:spacing w:after="80" w:line="276" w:lineRule="auto"/>
        <w:jc w:val="right"/>
        <w:bidi w:val="1"/>
      </w:pPr>
      <w:r>
        <w:rPr>
          <w:rFonts w:ascii="Amiri" w:hAnsi="Amiri" w:cs="Amiri" w:eastAsia="Amiri"/>
          <w:b w:val="0"/>
          <w:sz w:val="22"/>
        </w:rPr>
        <w:t>قيود سداد الأقساط الـ 163 قُيدت بالطرف الدائن لحساب البنك التجاري (11151) بموجب الشيكات والخصومات المباشرة، في حين أن الإيرادات النقدية المحصلة بالصندوق تم استخدامها فعلياً في تغطية مسحوبات الأقساط وسداد إيجار مقر الشركة الشهري (2,900 ريال شهرياً) والمصاريف التشغيلية، دون إجراء قيود تسوية دفترية وسيطة لنقل الرصيد من الصندوق إلى البنك. وعليه، نؤكد لأمين التفليسة والمحكمة منع إعادة قيد هذه الأقساط على الصندوق مرة ثانية منعاً للازدواجية المحاسبية وتضخيم المصروفات؛ حيث تم إثبات كامل الواقع وتسويته رسمياً في الإيضاح رقم (5) المتمم للقوائم المالية المعتمدة.</w:t>
      </w:r>
    </w:p>
    <w:p>
      <w:pPr>
        <w:spacing w:after="120" w:line="276" w:lineRule="auto" w:before="240"/>
        <w:jc w:val="right"/>
        <w:keepNext/>
        <w:bidi w:val="1"/>
      </w:pPr>
      <w:r>
        <w:rPr>
          <w:rFonts w:ascii="Amiri" w:hAnsi="Amiri" w:cs="Amiri" w:eastAsia="Amiri"/>
          <w:b/>
          <w:color w:val="294B62"/>
          <w:sz w:val="30"/>
        </w:rPr>
        <w:t>ثالثاً: فحص وتكييف فروقات الحساب 11211 (عقود المنتهي بالتملك والتسويات)</w:t>
      </w:r>
    </w:p>
    <w:p>
      <w:pPr>
        <w:spacing w:after="80" w:line="276" w:lineRule="auto"/>
        <w:jc w:val="right"/>
        <w:bidi w:val="1"/>
      </w:pPr>
      <w:r>
        <w:rPr>
          <w:rFonts w:ascii="Amiri" w:hAnsi="Amiri" w:cs="Amiri" w:eastAsia="Amiri"/>
          <w:b/>
          <w:color w:val="294B62"/>
          <w:sz w:val="22"/>
        </w:rPr>
        <w:t>1. حركة الحساب بين السنتين:</w:t>
      </w:r>
      <w:r>
        <w:rPr>
          <w:rFonts w:ascii="Amiri" w:hAnsi="Amiri" w:cs="Amiri" w:eastAsia="Amiri"/>
          <w:b w:val="0"/>
          <w:sz w:val="22"/>
        </w:rPr>
      </w:r>
    </w:p>
    <w:p>
      <w:pPr>
        <w:spacing w:after="80" w:line="276" w:lineRule="auto"/>
        <w:jc w:val="right"/>
        <w:bidi w:val="1"/>
      </w:pPr>
      <w:r>
        <w:rPr>
          <w:rFonts w:ascii="Amiri" w:hAnsi="Amiri" w:cs="Amiri" w:eastAsia="Amiri"/>
          <w:b w:val="0"/>
          <w:sz w:val="22"/>
        </w:rPr>
        <w:t>بلغ رصيد الحساب 11211 في 31/12/2025 دائناً بمبلغ 1,008,862.49 ريال قطري، وتحول في 30/09/2026 إلى رصيد مدين قدره 272,277.70 ريال قطري (صافي حركة مدينة خلال 2026 بلغت 1,281,140.19 ريال قطري).</w:t>
      </w:r>
    </w:p>
    <w:p>
      <w:pPr>
        <w:spacing w:after="80" w:line="276" w:lineRule="auto"/>
        <w:jc w:val="right"/>
        <w:bidi w:val="1"/>
      </w:pPr>
      <w:r>
        <w:rPr>
          <w:rFonts w:ascii="Amiri" w:hAnsi="Amiri" w:cs="Amiri" w:eastAsia="Amiri"/>
          <w:b/>
          <w:color w:val="294B62"/>
          <w:sz w:val="22"/>
        </w:rPr>
        <w:t>2. تفكيك أسباب الحركة الدفترية:</w:t>
      </w:r>
      <w:r>
        <w:rPr>
          <w:rFonts w:ascii="Amiri" w:hAnsi="Amiri" w:cs="Amiri" w:eastAsia="Amiri"/>
          <w:b w:val="0"/>
          <w:sz w:val="22"/>
        </w:rPr>
      </w:r>
    </w:p>
    <w:p>
      <w:pPr>
        <w:spacing w:after="80" w:line="276" w:lineRule="auto"/>
        <w:jc w:val="right"/>
        <w:bidi w:val="1"/>
      </w:pPr>
      <w:r>
        <w:rPr>
          <w:rFonts w:ascii="Amiri" w:hAnsi="Amiri" w:cs="Amiri" w:eastAsia="Amiri"/>
          <w:b w:val="0"/>
          <w:sz w:val="22"/>
        </w:rPr>
        <w:t>• قيد فواتير استحقاق عقد التأجير التمويلي LTO2024100 بواقع 75,600 ريال شهرياً كطرف مدين على الحساب.</w:t>
        <w:br/>
        <w:t>• عكس وإلغاء 3 دفعات مسجلة سابقاً لعقد ملغى ومسوى (Ret-2018212: تمت التسوية) بقيمة 66,071 ريال لكل دفعة (إجمالي 198,213 ريال).</w:t>
        <w:br/>
        <w:t>• تسويات وتطبيع سندات القبض القديمة (PBASE و AR11213) وإعادة ربطها بالفواتير الفعلية.</w:t>
      </w:r>
    </w:p>
    <w:p>
      <w:pPr>
        <w:spacing w:after="80" w:line="276" w:lineRule="auto"/>
        <w:jc w:val="right"/>
        <w:bidi w:val="1"/>
      </w:pPr>
      <w:r>
        <w:rPr>
          <w:rFonts w:ascii="Amiri" w:hAnsi="Amiri" w:cs="Amiri" w:eastAsia="Amiri"/>
          <w:b/>
          <w:color w:val="294B62"/>
          <w:sz w:val="22"/>
        </w:rPr>
        <w:t>3. التكييف القانوني والمحاسبي المعتمد:</w:t>
      </w:r>
      <w:r>
        <w:rPr>
          <w:rFonts w:ascii="Amiri" w:hAnsi="Amiri" w:cs="Amiri" w:eastAsia="Amiri"/>
          <w:b w:val="0"/>
          <w:sz w:val="22"/>
        </w:rPr>
      </w:r>
    </w:p>
    <w:p>
      <w:pPr>
        <w:spacing w:after="80" w:line="276" w:lineRule="auto"/>
        <w:jc w:val="right"/>
        <w:bidi w:val="1"/>
      </w:pPr>
      <w:r>
        <w:rPr>
          <w:rFonts w:ascii="Amiri" w:hAnsi="Amiri" w:cs="Amiri" w:eastAsia="Amiri"/>
          <w:b w:val="0"/>
          <w:sz w:val="22"/>
        </w:rPr>
        <w:t>صُنف الحساب تحت بند 'تأمينات ودفعات العملاء (Customer Deposits)' ضمن الالتزامات المتداولة؛ حيث تعتبر هذه المبالغ أمانات ودفعات تحت التسوية مخصومة من التزامات المنتهي بالتملك، مما حمى القوائم من تكرار تسجيل الإيراد وحقق توازناً تاماً للميزانية العمومية بفارق صفري (0.00 ريال) بدون أي خلل محاسبي.</w:t>
      </w:r>
    </w:p>
    <w:p>
      <w:pPr>
        <w:spacing w:after="120" w:line="276" w:lineRule="auto" w:before="240"/>
        <w:jc w:val="right"/>
        <w:keepNext/>
        <w:bidi w:val="1"/>
      </w:pPr>
      <w:r>
        <w:rPr>
          <w:rFonts w:ascii="Amiri" w:hAnsi="Amiri" w:cs="Amiri" w:eastAsia="Amiri"/>
          <w:b/>
          <w:color w:val="294B62"/>
          <w:sz w:val="30"/>
        </w:rPr>
        <w:t>رابعاً: حصر أسطول المركبات (221 مركبة) ومجمع الإهلاك والتقييم لغرض التصفية</w:t>
      </w:r>
    </w:p>
    <w:p>
      <w:pPr>
        <w:spacing w:after="80" w:line="276" w:lineRule="auto"/>
        <w:jc w:val="right"/>
        <w:bidi w:val="1"/>
      </w:pPr>
      <w:r>
        <w:rPr>
          <w:rFonts w:ascii="Amiri" w:hAnsi="Amiri" w:cs="Amiri" w:eastAsia="Amiri"/>
          <w:b w:val="0"/>
          <w:sz w:val="22"/>
        </w:rPr>
        <w:t>استكملت المنشأة كافة بيانات الشراء لجميع مركبات الأسطول الـ 221 مركبة بناءً على فواتير مجموعة المانع وعقود التوريد وتاريخ أول قسط تشغيلي، وحُسب مجمع الإهلاك بالقسط الثابت:</w:t>
      </w:r>
    </w:p>
    <w:tbl>
      <w:tblPr>
        <w:tblW w:type="auto" w:w="0"/>
        <w:jc w:val="center"/>
        <w:tblLook w:firstColumn="1" w:firstRow="1" w:lastColumn="0" w:lastRow="0" w:noHBand="0" w:noVBand="1" w:val="04A0"/>
        <w:bidiVisual/>
      </w:tblPr>
      <w:tblGrid>
        <w:gridCol w:w="3324"/>
        <w:gridCol w:w="3324"/>
        <w:gridCol w:w="3324"/>
      </w:tblGrid>
      <w:tr>
        <w:tc>
          <w:tcPr>
            <w:tcW w:type="dxa" w:w="3324"/>
            <w:shd w:fill="294B62"/>
            <w:tcMar>
              <w:top w:w="100" w:type="dxa"/>
              <w:bottom w:w="100" w:type="dxa"/>
              <w:left w:w="140" w:type="dxa"/>
              <w:right w:w="140" w:type="dxa"/>
            </w:tcMar>
            <w:vAlign w:val="center"/>
          </w:tcPr>
          <w:p>
            <w:pPr>
              <w:spacing w:after="40" w:line="276" w:lineRule="auto"/>
              <w:jc w:val="right"/>
              <w:bidi w:val="1"/>
            </w:pPr>
            <w:r>
              <w:rPr>
                <w:rFonts w:ascii="Amiri" w:hAnsi="Amiri" w:cs="Amiri" w:eastAsia="Amiri"/>
                <w:b/>
                <w:color w:val="FFFFFF"/>
                <w:sz w:val="20"/>
              </w:rPr>
              <w:t>البيان المالي للأسطول</w:t>
            </w:r>
          </w:p>
        </w:tc>
        <w:tc>
          <w:tcPr>
            <w:tcW w:type="dxa" w:w="3324"/>
            <w:shd w:fill="294B62"/>
            <w:tcMar>
              <w:top w:w="100" w:type="dxa"/>
              <w:bottom w:w="100" w:type="dxa"/>
              <w:left w:w="140" w:type="dxa"/>
              <w:right w:w="140" w:type="dxa"/>
            </w:tcMar>
            <w:vAlign w:val="center"/>
          </w:tcPr>
          <w:p>
            <w:pPr>
              <w:spacing w:after="40" w:line="276" w:lineRule="auto"/>
              <w:jc w:val="center"/>
              <w:bidi w:val="1"/>
            </w:pPr>
            <w:r>
              <w:rPr>
                <w:rFonts w:ascii="Amiri" w:hAnsi="Amiri" w:cs="Amiri" w:eastAsia="Amiri"/>
                <w:b/>
                <w:color w:val="FFFFFF"/>
                <w:sz w:val="20"/>
              </w:rPr>
              <w:t>القيمة الإجمالية (ر.ق)</w:t>
            </w:r>
          </w:p>
        </w:tc>
        <w:tc>
          <w:tcPr>
            <w:tcW w:type="dxa" w:w="3324"/>
            <w:shd w:fill="294B62"/>
            <w:tcMar>
              <w:top w:w="100" w:type="dxa"/>
              <w:bottom w:w="100" w:type="dxa"/>
              <w:left w:w="140" w:type="dxa"/>
              <w:right w:w="140" w:type="dxa"/>
            </w:tcMar>
            <w:vAlign w:val="center"/>
          </w:tcPr>
          <w:p>
            <w:pPr>
              <w:spacing w:after="40" w:line="276" w:lineRule="auto"/>
              <w:jc w:val="right"/>
              <w:bidi w:val="1"/>
            </w:pPr>
            <w:r>
              <w:rPr>
                <w:rFonts w:ascii="Amiri" w:hAnsi="Amiri" w:cs="Amiri" w:eastAsia="Amiri"/>
                <w:b/>
                <w:color w:val="FFFFFF"/>
                <w:sz w:val="20"/>
              </w:rPr>
              <w:t>الملاحظات المحاسبية والتصفية</w:t>
            </w:r>
          </w:p>
        </w:tc>
      </w:tr>
      <w:tr>
        <w:tc>
          <w:tcPr>
            <w:tcW w:type="dxa" w:w="3324"/>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20"/>
              </w:rPr>
              <w:t>التكلفة التاريخية لشراء الأسطول</w:t>
            </w:r>
          </w:p>
        </w:tc>
        <w:tc>
          <w:tcPr>
            <w:tcW w:type="dxa" w:w="3324"/>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20"/>
              </w:rPr>
              <w:t>12,649,223.53</w:t>
            </w:r>
          </w:p>
        </w:tc>
        <w:tc>
          <w:tcPr>
            <w:tcW w:type="dxa" w:w="3324"/>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20"/>
              </w:rPr>
              <w:t>221 مركبة مثبتة بفواتير المانع والموردين بنسبة 100%</w:t>
            </w:r>
          </w:p>
        </w:tc>
      </w:tr>
      <w:tr>
        <w:tc>
          <w:tcPr>
            <w:tcW w:type="dxa" w:w="3324"/>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20"/>
              </w:rPr>
              <w:t>مجمع الإهلاك حتى 30/09/2026</w:t>
            </w:r>
          </w:p>
        </w:tc>
        <w:tc>
          <w:tcPr>
            <w:tcW w:type="dxa" w:w="3324"/>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20"/>
              </w:rPr>
              <w:t>2,971,597.38</w:t>
            </w:r>
          </w:p>
        </w:tc>
        <w:tc>
          <w:tcPr>
            <w:tcW w:type="dxa" w:w="3324"/>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20"/>
              </w:rPr>
              <w:t>محسوب بطريقة القسط الثابت من تاريخ بدء التشغيل الفعلي</w:t>
            </w:r>
          </w:p>
        </w:tc>
      </w:tr>
      <w:tr>
        <w:tc>
          <w:tcPr>
            <w:tcW w:type="dxa" w:w="3324"/>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20"/>
              </w:rPr>
              <w:t>صافي القيمة الدفترية التقديرية الحالية</w:t>
            </w:r>
          </w:p>
        </w:tc>
        <w:tc>
          <w:tcPr>
            <w:tcW w:type="dxa" w:w="3324"/>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20"/>
              </w:rPr>
              <w:t>9,677,626.15</w:t>
            </w:r>
          </w:p>
        </w:tc>
        <w:tc>
          <w:tcPr>
            <w:tcW w:type="dxa" w:w="3324"/>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20"/>
              </w:rPr>
              <w:t>الأساس المتاح لأمين التفليسة للتقييم والتسييل القضائي</w:t>
            </w:r>
          </w:p>
        </w:tc>
      </w:tr>
      <w:tr>
        <w:tc>
          <w:tcPr>
            <w:tcW w:type="dxa" w:w="3324"/>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20"/>
              </w:rPr>
              <w:t>القيمة المثبتة دفترياً بالميزانية المعتمدة</w:t>
            </w:r>
          </w:p>
        </w:tc>
        <w:tc>
          <w:tcPr>
            <w:tcW w:type="dxa" w:w="3324"/>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20"/>
              </w:rPr>
              <w:t>2,538,802.00</w:t>
            </w:r>
          </w:p>
        </w:tc>
        <w:tc>
          <w:tcPr>
            <w:tcW w:type="dxa" w:w="3324"/>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20"/>
              </w:rPr>
              <w:t>صافي المركبات المقيدة دفترياً بعد استبعاد أصول التمويل والحوادث</w:t>
            </w:r>
          </w:p>
        </w:tc>
      </w:tr>
    </w:tbl>
    <w:p>
      <w:pPr>
        <w:spacing w:after="120" w:line="276" w:lineRule="auto"/>
        <w:jc w:val="right"/>
        <w:bidi w:val="1"/>
      </w:pPr>
      <w:r>
        <w:rPr>
          <w:rFonts w:ascii="Amiri" w:hAnsi="Amiri" w:cs="Amiri" w:eastAsia="Amiri"/>
          <w:b w:val="0"/>
          <w:sz w:val="22"/>
        </w:rPr>
      </w:r>
    </w:p>
    <w:p>
      <w:pPr>
        <w:spacing w:after="80" w:line="276" w:lineRule="auto"/>
        <w:jc w:val="right"/>
        <w:bidi w:val="1"/>
      </w:pPr>
      <w:r>
        <w:rPr>
          <w:rFonts w:ascii="Amiri" w:hAnsi="Amiri" w:cs="Amiri" w:eastAsia="Amiri"/>
          <w:b w:val="0"/>
          <w:sz w:val="22"/>
        </w:rPr>
        <w:t>• التوزيع الميداني للمركبات: 94 مركبة جاهزة للتسييل الفوري بحوزة الشركة، 59 مركبة مؤجرة سارية العقود، 29 مركبة محتجزة بمواقف شارع 52، 14 مركبة بحجز البلدية، 11 سكراب خارج الخدمة، 6 عهدة موظفين، 4 شطب حوادث، 2 ورش صيانة، 2 مسروقة بموجب بلاغات شرطة رسمية مرفقة بالكشف التفصيلي.</w:t>
      </w:r>
    </w:p>
    <w:p>
      <w:pPr>
        <w:spacing w:after="120" w:line="276" w:lineRule="auto" w:before="240"/>
        <w:jc w:val="right"/>
        <w:keepNext/>
        <w:bidi w:val="1"/>
      </w:pPr>
      <w:r>
        <w:rPr>
          <w:rFonts w:ascii="Amiri" w:hAnsi="Amiri" w:cs="Amiri" w:eastAsia="Amiri"/>
          <w:b/>
          <w:color w:val="294B62"/>
          <w:sz w:val="30"/>
        </w:rPr>
        <w:t>خامساً: جدول الدائنين وتمويلات المركبات القائمة</w:t>
      </w:r>
    </w:p>
    <w:tbl>
      <w:tblPr>
        <w:tblW w:type="auto" w:w="0"/>
        <w:jc w:val="center"/>
        <w:tblLook w:firstColumn="1" w:firstRow="1" w:lastColumn="0" w:lastRow="0" w:noHBand="0" w:noVBand="1" w:val="04A0"/>
        <w:bidiVisual/>
      </w:tblPr>
      <w:tblGrid>
        <w:gridCol w:w="2493"/>
        <w:gridCol w:w="2493"/>
        <w:gridCol w:w="2493"/>
        <w:gridCol w:w="2493"/>
      </w:tblGrid>
      <w:tr>
        <w:tc>
          <w:tcPr>
            <w:tcW w:type="dxa" w:w="2493"/>
            <w:shd w:fill="294B62"/>
            <w:tcMar>
              <w:top w:w="100" w:type="dxa"/>
              <w:bottom w:w="100" w:type="dxa"/>
              <w:left w:w="140" w:type="dxa"/>
              <w:right w:w="140" w:type="dxa"/>
            </w:tcMar>
            <w:vAlign w:val="center"/>
          </w:tcPr>
          <w:p>
            <w:pPr>
              <w:spacing w:after="40" w:line="276" w:lineRule="auto"/>
              <w:jc w:val="right"/>
              <w:bidi w:val="1"/>
            </w:pPr>
            <w:r>
              <w:rPr>
                <w:rFonts w:ascii="Amiri" w:hAnsi="Amiri" w:cs="Amiri" w:eastAsia="Amiri"/>
                <w:b/>
                <w:color w:val="FFFFFF"/>
                <w:sz w:val="19"/>
              </w:rPr>
              <w:t>الجهة الدائنة / الممول</w:t>
            </w:r>
          </w:p>
        </w:tc>
        <w:tc>
          <w:tcPr>
            <w:tcW w:type="dxa" w:w="2493"/>
            <w:shd w:fill="294B62"/>
            <w:tcMar>
              <w:top w:w="100" w:type="dxa"/>
              <w:bottom w:w="100" w:type="dxa"/>
              <w:left w:w="140" w:type="dxa"/>
              <w:right w:w="140" w:type="dxa"/>
            </w:tcMar>
            <w:vAlign w:val="center"/>
          </w:tcPr>
          <w:p>
            <w:pPr>
              <w:spacing w:after="40" w:line="276" w:lineRule="auto"/>
              <w:jc w:val="right"/>
              <w:bidi w:val="1"/>
            </w:pPr>
            <w:r>
              <w:rPr>
                <w:rFonts w:ascii="Amiri" w:hAnsi="Amiri" w:cs="Amiri" w:eastAsia="Amiri"/>
                <w:b/>
                <w:color w:val="FFFFFF"/>
                <w:sz w:val="19"/>
              </w:rPr>
              <w:t>بيان العقد والسيارات</w:t>
            </w:r>
          </w:p>
        </w:tc>
        <w:tc>
          <w:tcPr>
            <w:tcW w:type="dxa" w:w="2493"/>
            <w:shd w:fill="294B62"/>
            <w:tcMar>
              <w:top w:w="100" w:type="dxa"/>
              <w:bottom w:w="100" w:type="dxa"/>
              <w:left w:w="140" w:type="dxa"/>
              <w:right w:w="140" w:type="dxa"/>
            </w:tcMar>
            <w:vAlign w:val="center"/>
          </w:tcPr>
          <w:p>
            <w:pPr>
              <w:spacing w:after="40" w:line="276" w:lineRule="auto"/>
              <w:jc w:val="center"/>
              <w:bidi w:val="1"/>
            </w:pPr>
            <w:r>
              <w:rPr>
                <w:rFonts w:ascii="Amiri" w:hAnsi="Amiri" w:cs="Amiri" w:eastAsia="Amiri"/>
                <w:b/>
                <w:color w:val="FFFFFF"/>
                <w:sz w:val="19"/>
              </w:rPr>
              <w:t>إجمالي التمويل</w:t>
            </w:r>
          </w:p>
        </w:tc>
        <w:tc>
          <w:tcPr>
            <w:tcW w:type="dxa" w:w="2493"/>
            <w:shd w:fill="294B62"/>
            <w:tcMar>
              <w:top w:w="100" w:type="dxa"/>
              <w:bottom w:w="100" w:type="dxa"/>
              <w:left w:w="140" w:type="dxa"/>
              <w:right w:w="140" w:type="dxa"/>
            </w:tcMar>
            <w:vAlign w:val="center"/>
          </w:tcPr>
          <w:p>
            <w:pPr>
              <w:spacing w:after="40" w:line="276" w:lineRule="auto"/>
              <w:jc w:val="center"/>
              <w:bidi w:val="1"/>
            </w:pPr>
            <w:r>
              <w:rPr>
                <w:rFonts w:ascii="Amiri" w:hAnsi="Amiri" w:cs="Amiri" w:eastAsia="Amiri"/>
                <w:b/>
                <w:color w:val="FFFFFF"/>
                <w:sz w:val="19"/>
              </w:rPr>
              <w:t>المتبقي غير المسدد (ر.ق)</w:t>
            </w:r>
          </w:p>
        </w:tc>
      </w:tr>
      <w:tr>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مجموعة المانع (Pioneer Motors)</w:t>
            </w:r>
          </w:p>
        </w:tc>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عقد BESTUNE — 126 مركبة</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6,118,346.00</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6,118,346.10</w:t>
            </w:r>
          </w:p>
        </w:tc>
      </w:tr>
      <w:tr>
        <w:tc>
          <w:tcPr>
            <w:tcW w:type="dxa" w:w="2493"/>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شركة إيلاف أوتو (CHANGAN)</w:t>
            </w:r>
          </w:p>
        </w:tc>
        <w:tc>
          <w:tcPr>
            <w:tcW w:type="dxa" w:w="2493"/>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عقد شانجان — 20 مركبة</w:t>
            </w:r>
          </w:p>
        </w:tc>
        <w:tc>
          <w:tcPr>
            <w:tcW w:type="dxa" w:w="2493"/>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832,510.00</w:t>
            </w:r>
          </w:p>
        </w:tc>
        <w:tc>
          <w:tcPr>
            <w:tcW w:type="dxa" w:w="2493"/>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80,568.00</w:t>
            </w:r>
          </w:p>
        </w:tc>
      </w:tr>
      <w:tr>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شركة الأولى للتمويل</w:t>
            </w:r>
          </w:p>
        </w:tc>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عقد MG — 25 مركبة</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1,378,924.00</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0.00 (مسدد بالكامل)</w:t>
            </w:r>
          </w:p>
        </w:tc>
      </w:tr>
      <w:tr>
        <w:tc>
          <w:tcPr>
            <w:tcW w:type="dxa" w:w="2493"/>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البنك التجاري (GAC مرحلة 1 و 2)</w:t>
            </w:r>
          </w:p>
        </w:tc>
        <w:tc>
          <w:tcPr>
            <w:tcW w:type="dxa" w:w="2493"/>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عقد GAC — 17 مركبة</w:t>
            </w:r>
          </w:p>
        </w:tc>
        <w:tc>
          <w:tcPr>
            <w:tcW w:type="dxa" w:w="2493"/>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872,200.00</w:t>
            </w:r>
          </w:p>
        </w:tc>
        <w:tc>
          <w:tcPr>
            <w:tcW w:type="dxa" w:w="2493"/>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0.00 (مسدد بالكامل)</w:t>
            </w:r>
          </w:p>
        </w:tc>
      </w:tr>
      <w:tr>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شركة آل طالب (DONGFENG)</w:t>
            </w:r>
          </w:p>
        </w:tc>
        <w:tc>
          <w:tcPr>
            <w:tcW w:type="dxa" w:w="2493"/>
            <w:shd w:fill="F1F5F7"/>
            <w:tcMar>
              <w:top w:w="100" w:type="dxa"/>
              <w:bottom w:w="100" w:type="dxa"/>
              <w:left w:w="140" w:type="dxa"/>
              <w:right w:w="140" w:type="dxa"/>
            </w:tcMar>
            <w:vAlign w:val="center"/>
          </w:tcPr>
          <w:p>
            <w:pPr>
              <w:spacing w:after="40" w:line="276" w:lineRule="auto"/>
              <w:jc w:val="right"/>
              <w:bidi w:val="1"/>
            </w:pPr>
            <w:r>
              <w:rPr>
                <w:rFonts w:ascii="Amiri" w:hAnsi="Amiri" w:cs="Amiri" w:eastAsia="Amiri"/>
                <w:b w:val="0"/>
                <w:sz w:val="19"/>
              </w:rPr>
              <w:t>عقد دونغ فينغ — 5 مركبات</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391,140.00</w:t>
            </w:r>
          </w:p>
        </w:tc>
        <w:tc>
          <w:tcPr>
            <w:tcW w:type="dxa" w:w="2493"/>
            <w:shd w:fill="F1F5F7"/>
            <w:tcMar>
              <w:top w:w="100" w:type="dxa"/>
              <w:bottom w:w="100" w:type="dxa"/>
              <w:left w:w="140" w:type="dxa"/>
              <w:right w:w="140" w:type="dxa"/>
            </w:tcMar>
            <w:vAlign w:val="center"/>
          </w:tcPr>
          <w:p>
            <w:pPr>
              <w:spacing w:after="40" w:line="276" w:lineRule="auto"/>
              <w:jc w:val="center"/>
              <w:bidi w:val="1"/>
            </w:pPr>
            <w:r>
              <w:rPr>
                <w:rFonts w:ascii="Amiri" w:hAnsi="Amiri" w:cs="Amiri" w:eastAsia="Amiri"/>
                <w:b w:val="0"/>
                <w:sz w:val="19"/>
              </w:rPr>
              <w:t>0.00 (مسدد بالكامل)</w:t>
            </w:r>
          </w:p>
        </w:tc>
      </w:tr>
      <w:tr>
        <w:tc>
          <w:tcPr>
            <w:tcW w:type="dxa" w:w="2493"/>
            <w:shd w:fill="E1ECF2"/>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19"/>
              </w:rPr>
              <w:t>إجمالي ديون تمويل المركبات</w:t>
            </w:r>
          </w:p>
        </w:tc>
        <w:tc>
          <w:tcPr>
            <w:tcW w:type="dxa" w:w="2493"/>
            <w:shd w:fill="E1ECF2"/>
            <w:tcMar>
              <w:top w:w="100" w:type="dxa"/>
              <w:bottom w:w="100" w:type="dxa"/>
              <w:left w:w="140" w:type="dxa"/>
              <w:right w:w="140" w:type="dxa"/>
            </w:tcMar>
            <w:vAlign w:val="center"/>
          </w:tcPr>
          <w:p>
            <w:pPr>
              <w:spacing w:after="40" w:line="276" w:lineRule="auto"/>
              <w:jc w:val="right"/>
              <w:bidi w:val="1"/>
            </w:pPr>
            <w:r>
              <w:rPr>
                <w:rFonts w:ascii="Amiri" w:hAnsi="Amiri" w:cs="Amiri" w:eastAsia="Amiri"/>
                <w:b/>
                <w:sz w:val="19"/>
              </w:rPr>
              <w:t>مطابق تماماً لبند القروض بالميزانية</w:t>
            </w:r>
          </w:p>
        </w:tc>
        <w:tc>
          <w:tcPr>
            <w:tcW w:type="dxa" w:w="2493"/>
            <w:shd w:fill="E1ECF2"/>
            <w:tcMar>
              <w:top w:w="100" w:type="dxa"/>
              <w:bottom w:w="100" w:type="dxa"/>
              <w:left w:w="140" w:type="dxa"/>
              <w:right w:w="140" w:type="dxa"/>
            </w:tcMar>
            <w:vAlign w:val="center"/>
          </w:tcPr>
          <w:p>
            <w:pPr>
              <w:spacing w:after="40" w:line="276" w:lineRule="auto"/>
              <w:jc w:val="center"/>
              <w:bidi w:val="1"/>
            </w:pPr>
            <w:r>
              <w:rPr>
                <w:rFonts w:ascii="Amiri" w:hAnsi="Amiri" w:cs="Amiri" w:eastAsia="Amiri"/>
                <w:b/>
                <w:sz w:val="19"/>
              </w:rPr>
              <w:t>9,593,120.00</w:t>
            </w:r>
          </w:p>
        </w:tc>
        <w:tc>
          <w:tcPr>
            <w:tcW w:type="dxa" w:w="2493"/>
            <w:shd w:fill="E1ECF2"/>
            <w:tcMar>
              <w:top w:w="100" w:type="dxa"/>
              <w:bottom w:w="100" w:type="dxa"/>
              <w:left w:w="140" w:type="dxa"/>
              <w:right w:w="140" w:type="dxa"/>
            </w:tcMar>
            <w:vAlign w:val="center"/>
          </w:tcPr>
          <w:p>
            <w:pPr>
              <w:spacing w:after="40" w:line="276" w:lineRule="auto"/>
              <w:jc w:val="center"/>
              <w:bidi w:val="1"/>
            </w:pPr>
            <w:r>
              <w:rPr>
                <w:rFonts w:ascii="Amiri" w:hAnsi="Amiri" w:cs="Amiri" w:eastAsia="Amiri"/>
                <w:b/>
                <w:sz w:val="19"/>
              </w:rPr>
              <w:t>6,198,914.10</w:t>
            </w:r>
          </w:p>
        </w:tc>
      </w:tr>
    </w:tbl>
    <w:p>
      <w:pPr>
        <w:spacing w:after="120" w:line="276" w:lineRule="auto" w:before="240"/>
        <w:jc w:val="right"/>
        <w:keepNext/>
        <w:bidi w:val="1"/>
      </w:pPr>
      <w:r>
        <w:rPr>
          <w:rFonts w:ascii="Amiri" w:hAnsi="Amiri" w:cs="Amiri" w:eastAsia="Amiri"/>
          <w:b/>
          <w:color w:val="294B62"/>
          <w:sz w:val="30"/>
        </w:rPr>
        <w:t>سادساً: الطلبات الختامية</w:t>
      </w:r>
    </w:p>
    <w:p>
      <w:pPr>
        <w:spacing w:after="80" w:line="276" w:lineRule="auto"/>
        <w:jc w:val="right"/>
        <w:bidi w:val="1"/>
      </w:pPr>
      <w:r>
        <w:rPr>
          <w:rFonts w:ascii="Amiri" w:hAnsi="Amiri" w:cs="Amiri" w:eastAsia="Amiri"/>
          <w:b w:val="0"/>
          <w:sz w:val="22"/>
        </w:rPr>
        <w:t>بناءً على ما تقدم وعلى القوائم المالية الرسمية المعتمدة المرفقة، نلتمس من السيد أمين التفليسة والمحكمة الموقرة:</w:t>
      </w:r>
    </w:p>
    <w:p>
      <w:pPr>
        <w:spacing w:after="80" w:line="276" w:lineRule="auto"/>
        <w:jc w:val="right"/>
        <w:bidi w:val="1"/>
      </w:pPr>
      <w:r>
        <w:rPr>
          <w:rFonts w:ascii="Amiri" w:hAnsi="Amiri" w:cs="Amiri" w:eastAsia="Amiri"/>
          <w:b w:val="0"/>
          <w:sz w:val="22"/>
        </w:rPr>
        <w:t>1. اعتماد القوائم المالية الرسمية المرفقة للسنوات من 2023 إلى 2026 بحالتها المعتمدة برقم الحزمة 4329bfef-ab4f-4b86-a1b8-6315f762e0e1.</w:t>
      </w:r>
    </w:p>
    <w:p>
      <w:pPr>
        <w:spacing w:after="80" w:line="276" w:lineRule="auto"/>
        <w:jc w:val="right"/>
        <w:bidi w:val="1"/>
      </w:pPr>
      <w:r>
        <w:rPr>
          <w:rFonts w:ascii="Amiri" w:hAnsi="Amiri" w:cs="Amiri" w:eastAsia="Amiri"/>
          <w:b w:val="0"/>
          <w:sz w:val="22"/>
        </w:rPr>
        <w:t>2. إثبات عدم تكرار تسجيل أقساط تمويل السيارات على الصندوق وفق الثابت بالإيضاح رقم (5).</w:t>
      </w:r>
    </w:p>
    <w:p>
      <w:pPr>
        <w:spacing w:after="80" w:line="276" w:lineRule="auto"/>
        <w:jc w:val="right"/>
        <w:bidi w:val="1"/>
      </w:pPr>
      <w:r>
        <w:rPr>
          <w:rFonts w:ascii="Amiri" w:hAnsi="Amiri" w:cs="Amiri" w:eastAsia="Amiri"/>
          <w:b w:val="0"/>
          <w:sz w:val="22"/>
        </w:rPr>
        <w:t>3. اعتماد كشف حصر وجرد أسطول المركبات (221 مركبة) ومباشرة إجراءات استلام وحفظ وتسييل الأصول لصالح هيئة الدائنين.</w:t>
      </w:r>
    </w:p>
    <w:p>
      <w:pPr>
        <w:spacing w:after="280" w:line="276" w:lineRule="auto"/>
        <w:jc w:val="right"/>
        <w:bidi w:val="1"/>
      </w:pPr>
      <w:r>
        <w:rPr>
          <w:rFonts w:ascii="Amiri" w:hAnsi="Amiri" w:cs="Amiri" w:eastAsia="Amiri"/>
          <w:b w:val="0"/>
          <w:sz w:val="22"/>
        </w:rPr>
      </w:r>
    </w:p>
    <w:p>
      <w:pPr>
        <w:spacing w:after="80" w:line="276" w:lineRule="auto"/>
        <w:jc w:val="center"/>
        <w:bidi w:val="1"/>
      </w:pPr>
      <w:r>
        <w:rPr>
          <w:rFonts w:ascii="Amiri" w:hAnsi="Amiri" w:cs="Amiri" w:eastAsia="Amiri"/>
          <w:b/>
          <w:sz w:val="22"/>
        </w:rPr>
        <w:t>وتفضلوا بقبول وافر الاحترام والتقدير،،،</w:t>
      </w:r>
    </w:p>
    <w:p>
      <w:pPr>
        <w:spacing w:after="80" w:line="276" w:lineRule="auto"/>
        <w:jc w:val="left"/>
        <w:bidi w:val="1"/>
      </w:pPr>
      <w:r>
        <w:rPr>
          <w:rFonts w:ascii="Amiri" w:hAnsi="Amiri" w:cs="Amiri" w:eastAsia="Amiri"/>
          <w:b/>
          <w:sz w:val="22"/>
        </w:rPr>
        <w:t>عن شركة العراف لتأجير السيارات ذ.م.م</w:t>
        <w:br/>
        <w:t>خميس الجبر — المفوض بالتوقيع</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