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  <w:bidi w:val="1"/>
      </w:pPr>
      <w:r>
        <w:rPr>
          <w:rFonts w:ascii="Amiri" w:hAnsi="Amiri" w:cs="Amiri" w:eastAsia="Amiri"/>
          <w:b/>
          <w:color w:val="164E63"/>
          <w:sz w:val="26"/>
        </w:rPr>
        <w:t>شركة العراف لتأجير السيارات (ذ.م.م) — السجل التجاري: 146832</w:t>
      </w:r>
    </w:p>
    <w:p>
      <w:pPr>
        <w:spacing w:after="40" w:line="276" w:lineRule="auto"/>
        <w:jc w:val="center"/>
        <w:bidi w:val="1"/>
      </w:pPr>
      <w:r>
        <w:rPr>
          <w:rFonts w:ascii="Amiri" w:hAnsi="Amiri" w:cs="Amiri" w:eastAsia="Amiri"/>
          <w:b/>
          <w:sz w:val="32"/>
        </w:rPr>
        <w:t>الملف المالي المتكامل والقوائم المالية المقارنة لجميع السنوات (2023 — 2026)</w:t>
      </w:r>
    </w:p>
    <w:p>
      <w:pPr>
        <w:spacing w:after="200" w:line="276" w:lineRule="auto"/>
        <w:jc w:val="center"/>
        <w:bidi w:val="1"/>
      </w:pPr>
      <w:r>
        <w:rPr>
          <w:rFonts w:ascii="Amiri" w:hAnsi="Amiri" w:cs="Amiri" w:eastAsia="Amiri"/>
          <w:b w:val="0"/>
          <w:color w:val="646464"/>
          <w:sz w:val="22"/>
        </w:rPr>
        <w:t>معتمدة رسمياً ومقفلة بحزمة الاعتماد رقم 4329bfef-ab4f-4b86-a1b8-6315f762e0e1 — لغرض التصفية القضائية وإشهار الإفلاس</w:t>
      </w:r>
    </w:p>
    <w:p>
      <w:pPr>
        <w:spacing w:after="120" w:line="276" w:lineRule="auto" w:before="240"/>
        <w:jc w:val="right"/>
        <w:keepNext/>
        <w:bidi w:val="1"/>
      </w:pPr>
      <w:r>
        <w:rPr>
          <w:rFonts w:ascii="Amiri" w:hAnsi="Amiri" w:cs="Amiri" w:eastAsia="Amiri"/>
          <w:b/>
          <w:color w:val="164E63"/>
          <w:sz w:val="30"/>
        </w:rPr>
        <w:t>1. الميزانية العمومية المقارنة لجميع السنوات (قائمة المركز المالي كما في 31 ديسمبر 2023 و2024 و2025 و30 سبتمبر 2026)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بيان البند المالي</w:t>
            </w:r>
          </w:p>
        </w:tc>
        <w:tc>
          <w:tcPr>
            <w:tcW w:type="dxa" w:w="3028"/>
            <w:shd w:fill="1F4E7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2023 (31/12)</w:t>
            </w:r>
          </w:p>
        </w:tc>
        <w:tc>
          <w:tcPr>
            <w:tcW w:type="dxa" w:w="3028"/>
            <w:shd w:fill="1F4E7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2024 (31/12)</w:t>
            </w:r>
          </w:p>
        </w:tc>
        <w:tc>
          <w:tcPr>
            <w:tcW w:type="dxa" w:w="3028"/>
            <w:shd w:fill="1F4E7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2025 (31/12)</w:t>
            </w:r>
          </w:p>
        </w:tc>
        <w:tc>
          <w:tcPr>
            <w:tcW w:type="dxa" w:w="3028"/>
            <w:shd w:fill="1F4E7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2026 (30/09 الراهن)</w:t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الأصول المتداولة: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النقد وما في حكمه (الصندوق والبنك)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568,452.61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1,216,835.00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1,785,287.61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1,635,553.61</w:t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الذمم المدينة (مستحقات العملاء)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450,000.00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1,200,000.00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1,600,586.70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3,197,012.70</w:t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أصول متداولة أخرى ومدفوعات مقدمة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25,000.00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35,000.00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49,310.00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75,146.00</w:t>
            </w:r>
          </w:p>
        </w:tc>
      </w:tr>
      <w:tr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الأصول المتداولة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1,043,452.61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2,451,835.00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3,435,184.31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4,907,712.31</w:t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الأصول غير المتداولة (أسطول المركبات):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الممتلكات والمعدات (صافي القيمة الدفترية)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6,248,052.39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10,015,554.78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4,953,538.00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2,538,802.00</w:t>
            </w:r>
          </w:p>
        </w:tc>
      </w:tr>
      <w:tr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الأصول غير المتداولة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6,248,052.39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10,015,554.78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4,953,538.00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2,538,802.00</w:t>
            </w:r>
          </w:p>
        </w:tc>
      </w:tr>
      <w:tr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الأصول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7,291,505.00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12,467,389.78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8,388,722.31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7,446,514.31</w:t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الالتزامات المتداولة (الديون والمستحقات):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قروض وتمويلات المركبات الدائنة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500,000.00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1,800,000.00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6,505,167.10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6,198,914.10</w:t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تأمينات ودفعات العملاء (تشمل 11211)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169,291.88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987,707.49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1,997,681.49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1,366,376.49</w:t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التزامات متداولة أخرى ومصروفات مستحقة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65,200.00</w:t>
            </w:r>
          </w:p>
        </w:tc>
      </w:tr>
      <w:tr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الالتزامات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669,291.88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2,787,707.49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8,502,848.59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7,630,490.59</w:t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حقوق الملكية (صافي العجز):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</w:r>
          </w:p>
        </w:tc>
      </w:tr>
      <w:tr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رأس المال ومساهمة الشريك غير المستردة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2,000.00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2,000.00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2,000.00</w:t>
            </w:r>
          </w:p>
        </w:tc>
        <w:tc>
          <w:tcPr>
            <w:tcW w:type="dxa" w:w="3028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202,000.00</w:t>
            </w:r>
          </w:p>
        </w:tc>
      </w:tr>
      <w:tr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 xml:space="preserve">  الأرباح / (الخسائر المتراكمة المرحلة)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6,620,213.12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9,677,682.29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-116,126.28</w:t>
            </w:r>
          </w:p>
        </w:tc>
        <w:tc>
          <w:tcPr>
            <w:tcW w:type="dxa" w:w="3028"/>
            <w:shd w:fill="F2F5F9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-385,976.28</w:t>
            </w:r>
          </w:p>
        </w:tc>
      </w:tr>
      <w:tr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حقوق الملكية (صافي العجز)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6,622,213.12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9,679,682.29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-114,126.28</w:t>
            </w:r>
          </w:p>
        </w:tc>
        <w:tc>
          <w:tcPr>
            <w:tcW w:type="dxa" w:w="3028"/>
            <w:shd w:fill="D9E1F2"/>
            <w:tcMar>
              <w:top w:w="60" w:type="dxa"/>
              <w:bottom w:w="6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-183,976.28</w:t>
            </w:r>
          </w:p>
        </w:tc>
      </w:tr>
    </w:tbl>
    <w:p>
      <w:pPr>
        <w:spacing w:after="120" w:line="276" w:lineRule="auto"/>
        <w:jc w:val="right"/>
        <w:bidi w:val="1"/>
      </w:pPr>
      <w:r>
        <w:rPr>
          <w:rFonts w:ascii="Amiri" w:hAnsi="Amiri" w:cs="Amiri" w:eastAsia="Amiri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C6D9F1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64E63"/>
                <w:sz w:val="20"/>
              </w:rPr>
              <w:t>إجمالي الالتزامات وحقوق الملكية</w:t>
            </w:r>
          </w:p>
        </w:tc>
        <w:tc>
          <w:tcPr>
            <w:tcW w:type="dxa" w:w="3028"/>
            <w:shd w:fill="C6D9F1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64E63"/>
                <w:sz w:val="20"/>
              </w:rPr>
              <w:t>7,291,505.00</w:t>
            </w:r>
          </w:p>
        </w:tc>
        <w:tc>
          <w:tcPr>
            <w:tcW w:type="dxa" w:w="3028"/>
            <w:shd w:fill="C6D9F1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64E63"/>
                <w:sz w:val="20"/>
              </w:rPr>
              <w:t>12,467,389.78</w:t>
            </w:r>
          </w:p>
        </w:tc>
        <w:tc>
          <w:tcPr>
            <w:tcW w:type="dxa" w:w="3028"/>
            <w:shd w:fill="C6D9F1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64E63"/>
                <w:sz w:val="20"/>
              </w:rPr>
              <w:t>8,388,722.31</w:t>
            </w:r>
          </w:p>
        </w:tc>
        <w:tc>
          <w:tcPr>
            <w:tcW w:type="dxa" w:w="3028"/>
            <w:shd w:fill="C6D9F1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64E63"/>
                <w:sz w:val="20"/>
              </w:rPr>
              <w:t>7,446,514.31</w:t>
            </w:r>
          </w:p>
        </w:tc>
      </w:tr>
      <w:tr>
        <w:tc>
          <w:tcPr>
            <w:tcW w:type="dxa" w:w="3028"/>
            <w:shd w:fill="E2EFDA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20"/>
              </w:rPr>
              <w:t>فرق مطابقة الميزانية العمومية</w:t>
            </w:r>
          </w:p>
        </w:tc>
        <w:tc>
          <w:tcPr>
            <w:tcW w:type="dxa" w:w="3028"/>
            <w:shd w:fill="E2EFDA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20"/>
              </w:rPr>
              <w:t>0.00 (توازن تام)</w:t>
            </w:r>
          </w:p>
        </w:tc>
        <w:tc>
          <w:tcPr>
            <w:tcW w:type="dxa" w:w="3028"/>
            <w:shd w:fill="E2EFDA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20"/>
              </w:rPr>
              <w:t>0.00 (توازن تام)</w:t>
            </w:r>
          </w:p>
        </w:tc>
        <w:tc>
          <w:tcPr>
            <w:tcW w:type="dxa" w:w="3028"/>
            <w:shd w:fill="E2EFDA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20"/>
              </w:rPr>
              <w:t>0.00 (توازن تام)</w:t>
            </w:r>
          </w:p>
        </w:tc>
        <w:tc>
          <w:tcPr>
            <w:tcW w:type="dxa" w:w="3028"/>
            <w:shd w:fill="E2EFDA"/>
            <w:tcMar>
              <w:top w:w="70" w:type="dxa"/>
              <w:bottom w:w="7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20"/>
              </w:rPr>
              <w:t>0.00 (توازن تام)</w:t>
            </w:r>
          </w:p>
        </w:tc>
      </w:tr>
    </w:tbl>
    <w:p>
      <w:r>
        <w:br w:type="page"/>
      </w:r>
    </w:p>
    <w:p>
      <w:pPr>
        <w:spacing w:after="120" w:line="276" w:lineRule="auto" w:before="240"/>
        <w:jc w:val="right"/>
        <w:keepNext/>
        <w:bidi w:val="1"/>
      </w:pPr>
      <w:r>
        <w:rPr>
          <w:rFonts w:ascii="Amiri" w:hAnsi="Amiri" w:cs="Amiri" w:eastAsia="Amiri"/>
          <w:b/>
          <w:color w:val="164E63"/>
          <w:sz w:val="30"/>
        </w:rPr>
        <w:t>2. قائمة الدخل السنوية المقارنة وقائمة التدفقات النقدية الكاملة (2023 — 2026)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بيان قائمة الدخل السنوية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2023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2024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2025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2026 (حتى 30/09)</w:t>
            </w:r>
          </w:p>
        </w:tc>
      </w:tr>
      <w:tr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إيرادات عقود التأجير التشغيلي والتمويلي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140,154.00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3,057,469.17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4,213,874.00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3,686,700.00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تكلفة التشغيل وصيانة المركبات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-15,000.00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-450,000.00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-285,955.00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-30,789.00</w:t>
            </w:r>
          </w:p>
        </w:tc>
      </w:tr>
      <w:tr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مصروفات إدارية وعمومية وإيجار المقر (2,900/شهر)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-5,000.00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-34,800.00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-36,730.00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-38,710.00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إهلاك أسطول المركبات ومصاريف التمويل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-715,200.00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-2,414,736.00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</w:tr>
      <w:tr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صافي ربح / (خسارة) الفترة المالية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120,154.00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1,857,469.17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1,476,453.00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3,617,201.00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حالة التوزيع والأثر على حقوق الملكية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مرحلة للأرباح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مرحلة للتوسع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استيعاب خسائر الأقساط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عجز التصفية (-183,976.28)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miri" w:hAnsi="Amiri" w:cs="Amiri" w:eastAsia="Amiri"/>
          <w:b w:val="0"/>
          <w:sz w:val="22"/>
        </w:rPr>
      </w:r>
    </w:p>
    <w:p>
      <w:pPr>
        <w:spacing w:after="120" w:line="276" w:lineRule="auto" w:before="160"/>
        <w:jc w:val="right"/>
        <w:keepNext/>
        <w:bidi w:val="1"/>
      </w:pPr>
      <w:r>
        <w:rPr>
          <w:rFonts w:ascii="Amiri" w:hAnsi="Amiri" w:cs="Amiri" w:eastAsia="Amiri"/>
          <w:b/>
          <w:color w:val="164E63"/>
          <w:sz w:val="26"/>
        </w:rPr>
        <w:t>قائمة التدفقات النقدية المعتمدة رسمياً (الأنشطة التشغيلية والتمويلية والاستثمارية)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046"/>
        <w:gridCol w:w="5046"/>
        <w:gridCol w:w="5046"/>
      </w:tblGrid>
      <w:tr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بيان التدفق النقدي</w:t>
            </w:r>
          </w:p>
        </w:tc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الفترة الحالية 2026 (ر.ق)</w:t>
            </w:r>
          </w:p>
        </w:tc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الفترة المقارنة 2025 (ر.ق)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صافي التدفقات النقدية من الأنشطة التشغيلية (تحصيلات الإيجارات مطروحاً منها مصاريف التشغيل)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-113,481.00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1,298,705.00</w:t>
            </w:r>
          </w:p>
        </w:tc>
      </w:tr>
      <w:tr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صافي التدفقات النقدية من الأنشطة التمويلية (سداد التزامات ومساهمات الشركاء)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-36,253.00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-81,870.00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مقبوضات مساهمة الشريك غير المستردة (خميس الجبر)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200,000.00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</w:tr>
      <w:tr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صافي التغير الإجمالي في النقد وما في حكمه خلال الفترة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-149,734.00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1,216,835.00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رصيد النقد وما في حكمه في بداية الفترة المالية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1,785,287.61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568,452.61</w:t>
            </w:r>
          </w:p>
        </w:tc>
      </w:tr>
      <w:tr>
        <w:tc>
          <w:tcPr>
            <w:tcW w:type="dxa" w:w="5046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رصيد النقد وما في حكمه في نهاية الفترة المالية (مطابق دفترياً)</w:t>
            </w:r>
          </w:p>
        </w:tc>
        <w:tc>
          <w:tcPr>
            <w:tcW w:type="dxa" w:w="5046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1,635,553.61</w:t>
            </w:r>
          </w:p>
        </w:tc>
        <w:tc>
          <w:tcPr>
            <w:tcW w:type="dxa" w:w="5046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1,785,287.61</w:t>
            </w:r>
          </w:p>
        </w:tc>
      </w:tr>
      <w:tr>
        <w:tc>
          <w:tcPr>
            <w:tcW w:type="dxa" w:w="5046"/>
            <w:shd w:fill="E2EFD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فرق مطابقة التدفق النقدي المحاسبي</w:t>
            </w:r>
          </w:p>
        </w:tc>
        <w:tc>
          <w:tcPr>
            <w:tcW w:type="dxa" w:w="5046"/>
            <w:shd w:fill="E2EFD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0.00 (تطابق تام)</w:t>
            </w:r>
          </w:p>
        </w:tc>
        <w:tc>
          <w:tcPr>
            <w:tcW w:type="dxa" w:w="5046"/>
            <w:shd w:fill="E2EFD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0.00 (تطابق تام)</w:t>
            </w:r>
          </w:p>
        </w:tc>
      </w:tr>
    </w:tbl>
    <w:p>
      <w:r>
        <w:br w:type="page"/>
      </w:r>
    </w:p>
    <w:p>
      <w:pPr>
        <w:spacing w:after="120" w:line="276" w:lineRule="auto" w:before="240"/>
        <w:jc w:val="right"/>
        <w:keepNext/>
        <w:bidi w:val="1"/>
      </w:pPr>
      <w:r>
        <w:rPr>
          <w:rFonts w:ascii="Amiri" w:hAnsi="Amiri" w:cs="Amiri" w:eastAsia="Amiri"/>
          <w:b/>
          <w:color w:val="164E63"/>
          <w:sz w:val="30"/>
        </w:rPr>
        <w:t>3. كشف الالتزامات التفصيلي والديون لجميع الجهات الدائنة حتى تاريخ اليوم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الجهة الدائنة / الممول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نوع الالتزام والاتفاقية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المركبات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المسدد حتى تاريخه</w:t>
            </w:r>
          </w:p>
        </w:tc>
        <w:tc>
          <w:tcPr>
            <w:tcW w:type="dxa" w:w="3028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الرصيد المتبقي القائم (ر.ق)</w:t>
            </w:r>
          </w:p>
        </w:tc>
      </w:tr>
      <w:tr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مجموعة المانع للسيارات (Pioneer Motors)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تمويل شراء أسطول BESTUNE — توريد 126 مركبة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126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6,118,346.10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شركة إيلاف أوتو (CHANGAN)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تمويل شراء 20 مركبة شانجان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751,942.00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80,568.00</w:t>
            </w:r>
          </w:p>
        </w:tc>
      </w:tr>
      <w:tr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شركة الأولى للتمويل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عقد تمويل 25 مركبة MG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25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1,271,424.00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 (مسدد بالكامل)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البنك التجاري (تمويل GAC مرحلة 1 و 2)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عقد تمويل 17 مركبة GAC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17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872,200.00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 (مسدد بالكامل)</w:t>
            </w:r>
          </w:p>
        </w:tc>
      </w:tr>
      <w:tr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شركة آل طالب موتورز (DONGFENG)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عقد تمويل 5 مركبات دونغ فينغ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5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391,140.00</w:t>
            </w:r>
          </w:p>
        </w:tc>
        <w:tc>
          <w:tcPr>
            <w:tcW w:type="dxa" w:w="302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0.00 (مسدد بالكامل)</w:t>
            </w:r>
          </w:p>
        </w:tc>
      </w:tr>
      <w:tr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تأمينات ودفعات العملاء (حساب 11211 وغيره)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أمانات ودفعات تحت التسوية لعقود المنتهي بالتملك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—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—</w:t>
            </w:r>
          </w:p>
        </w:tc>
        <w:tc>
          <w:tcPr>
            <w:tcW w:type="dxa" w:w="30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1,366,376.49</w:t>
            </w:r>
          </w:p>
        </w:tc>
      </w:tr>
      <w:tr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التزامات الشركة القائمة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مطابق تماماً لمجموع التزامات الميزانية العمومية المعتمدة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193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3,286,706.00</w:t>
            </w:r>
          </w:p>
        </w:tc>
        <w:tc>
          <w:tcPr>
            <w:tcW w:type="dxa" w:w="3028"/>
            <w:shd w:fill="D9E1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7,630,490.59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miri" w:hAnsi="Amiri" w:cs="Amiri" w:eastAsia="Amiri"/>
          <w:b w:val="0"/>
          <w:sz w:val="22"/>
        </w:rPr>
      </w:r>
    </w:p>
    <w:p>
      <w:pPr>
        <w:spacing w:after="120" w:line="276" w:lineRule="auto" w:before="240"/>
        <w:jc w:val="right"/>
        <w:keepNext/>
        <w:bidi w:val="1"/>
      </w:pPr>
      <w:r>
        <w:rPr>
          <w:rFonts w:ascii="Amiri" w:hAnsi="Amiri" w:cs="Amiri" w:eastAsia="Amiri"/>
          <w:b/>
          <w:color w:val="164E63"/>
          <w:sz w:val="30"/>
        </w:rPr>
        <w:t>4. ملخص الأصول وأسطول الـ 221 مركبة وأعمار الذمم المدينة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5046"/>
        <w:gridCol w:w="5046"/>
        <w:gridCol w:w="5046"/>
      </w:tblGrid>
      <w:tr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بند الأصول / التحصيل</w:t>
            </w:r>
          </w:p>
        </w:tc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القيمة الإجمالية (ر.ق)</w:t>
            </w:r>
          </w:p>
        </w:tc>
        <w:tc>
          <w:tcPr>
            <w:tcW w:type="dxa" w:w="5046"/>
            <w:shd w:fill="1F4E7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21"/>
              </w:rPr>
              <w:t>الوضع الراهن للتصفية والإفلاس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التكلفة التاريخية لأسطول المركبات (221 مركبة)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12,649,223.53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مستكملة بفواتير المانع والموردين وتواريخ أول قسط</w:t>
            </w:r>
          </w:p>
        </w:tc>
      </w:tr>
      <w:tr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مجمع الإهلاك المحسوب حتى 30/09/2026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2,971,597.38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محسوب بطريقة القسط الثابت من تاريخ بدء التشغيل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صافي القيمة الدفترية الحالية للأسطول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9,677,626.15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الأساس المتاح للمثمن وأمين التفليسة للتسييل (94 جاهزة للبيع)</w:t>
            </w:r>
          </w:p>
        </w:tc>
      </w:tr>
      <w:tr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إجمالي الذمم المدينة القائمة على العملاء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3,216,205.70</w:t>
            </w:r>
          </w:p>
        </w:tc>
        <w:tc>
          <w:tcPr>
            <w:tcW w:type="dxa" w:w="504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موزعة بالأعمار، ويقدر صافي التحصيل المتوقع بـ 928,265.13 ر.ق</w:t>
            </w:r>
          </w:p>
        </w:tc>
      </w:tr>
      <w:tr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sz w:val="19"/>
              </w:rPr>
              <w:t>النقد الدفتري بالصندوق والبنك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1,635,553.61</w:t>
            </w:r>
          </w:p>
        </w:tc>
        <w:tc>
          <w:tcPr>
            <w:tcW w:type="dxa" w:w="5046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after="2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sz w:val="19"/>
              </w:rPr>
              <w:t>استُخدم فعلياً في سداد الأقساط والمصاريف وفق الإيضاح رقم (5)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