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80" w:rsidRDefault="00083C80" w:rsidP="00083C80">
      <w:pPr>
        <w:pStyle w:val="a3"/>
        <w:jc w:val="center"/>
        <w:rPr>
          <w:rFonts w:ascii="黑体" w:eastAsia="黑体"/>
          <w:sz w:val="32"/>
        </w:rPr>
      </w:pPr>
      <w:r>
        <w:rPr>
          <w:rFonts w:ascii="黑体" w:eastAsia="黑体" w:hint="eastAsia"/>
          <w:sz w:val="32"/>
        </w:rPr>
        <w:t>20</w:t>
      </w:r>
      <w:r>
        <w:rPr>
          <w:rFonts w:ascii="黑体" w:eastAsia="黑体"/>
          <w:sz w:val="32"/>
        </w:rPr>
        <w:t>20</w:t>
      </w:r>
      <w:r>
        <w:rPr>
          <w:rFonts w:ascii="黑体" w:eastAsia="黑体" w:hint="eastAsia"/>
          <w:sz w:val="32"/>
        </w:rPr>
        <w:t>年武汉理工大学数学建模训练题目</w:t>
      </w:r>
    </w:p>
    <w:p w:rsidR="00083C80" w:rsidRDefault="00083C80" w:rsidP="00083C80">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59264" behindDoc="0" locked="0" layoutInCell="1" allowOverlap="1" wp14:anchorId="13940886" wp14:editId="3117BB65">
                <wp:simplePos x="0" y="0"/>
                <wp:positionH relativeFrom="column">
                  <wp:posOffset>228600</wp:posOffset>
                </wp:positionH>
                <wp:positionV relativeFrom="paragraph">
                  <wp:posOffset>93980</wp:posOffset>
                </wp:positionV>
                <wp:extent cx="5257800" cy="7620"/>
                <wp:effectExtent l="33655" t="28575" r="33020" b="3048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653BC" id="直接连接符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vfg9MT4CAABKBAAADgAA&#10;AAAAAAAAAAAAAAAuAgAAZHJzL2Uyb0RvYy54bWxQSwECLQAUAAYACAAAACEABLAEzt4AAAAIAQAA&#10;DwAAAAAAAAAAAAAAAACYBAAAZHJzL2Rvd25yZXYueG1sUEsFBgAAAAAEAAQA8wAAAKMFAAAAAA==&#10;" strokeweight="4.5pt">
                <v:stroke linestyle="thinThick"/>
              </v:line>
            </w:pict>
          </mc:Fallback>
        </mc:AlternateContent>
      </w:r>
    </w:p>
    <w:p w:rsidR="00083C80" w:rsidRDefault="00083C80" w:rsidP="00083C80">
      <w:pPr>
        <w:spacing w:afterLines="50" w:after="156" w:line="309" w:lineRule="exact"/>
        <w:jc w:val="center"/>
        <w:rPr>
          <w:rFonts w:hAnsi="Calibri"/>
          <w:color w:val="000000"/>
          <w:sz w:val="28"/>
          <w:szCs w:val="22"/>
        </w:rPr>
      </w:pPr>
      <w:r>
        <w:rPr>
          <w:rFonts w:hint="eastAsia"/>
          <w:b/>
          <w:sz w:val="32"/>
          <w:szCs w:val="32"/>
        </w:rPr>
        <w:t>第</w:t>
      </w:r>
      <w:r>
        <w:rPr>
          <w:b/>
          <w:sz w:val="32"/>
          <w:szCs w:val="32"/>
        </w:rPr>
        <w:t>12</w:t>
      </w:r>
      <w:r>
        <w:rPr>
          <w:rFonts w:hint="eastAsia"/>
          <w:b/>
          <w:sz w:val="32"/>
          <w:szCs w:val="32"/>
        </w:rPr>
        <w:t>题</w:t>
      </w:r>
      <w:r>
        <w:rPr>
          <w:rFonts w:hint="eastAsia"/>
          <w:b/>
          <w:bCs/>
          <w:color w:val="000000"/>
          <w:sz w:val="36"/>
          <w:szCs w:val="20"/>
        </w:rPr>
        <w:t>：</w:t>
      </w:r>
      <w:r w:rsidRPr="00C252F4">
        <w:rPr>
          <w:b/>
          <w:sz w:val="32"/>
          <w:szCs w:val="32"/>
        </w:rPr>
        <w:t>黄河宁夏河段水环境污染规律及健康状况研究</w:t>
      </w:r>
    </w:p>
    <w:p w:rsidR="00083C80" w:rsidRPr="00C252F4" w:rsidRDefault="00083C80" w:rsidP="00083C80">
      <w:pPr>
        <w:spacing w:afterLines="50" w:after="156" w:line="360" w:lineRule="auto"/>
        <w:ind w:firstLineChars="200" w:firstLine="480"/>
        <w:rPr>
          <w:rFonts w:ascii="宋体" w:hAnsi="宋体"/>
          <w:kern w:val="0"/>
          <w:sz w:val="24"/>
        </w:rPr>
      </w:pPr>
      <w:r w:rsidRPr="00C252F4">
        <w:rPr>
          <w:rFonts w:ascii="宋体" w:hAnsi="宋体"/>
          <w:kern w:val="0"/>
          <w:sz w:val="24"/>
        </w:rPr>
        <w:t>2016 年 7 月，习近平总书记视察宁夏时明确了“生态安全屏障”的定位，赋予宁夏“加强黄河保护”的使命，要求宁夏承担起维护西北乃至全国生态安全的重要使命；2019 年 9 月 18 日，在黄河流域生态保护和高质量发展座谈会上，总书记提出了黄河流域生态保护和高质量发展的重大国家战略；2020 年 6 月 8日，总书记又一次视察宁夏时作了“守好改善生态环境生命线，努力把宁夏建设成黄河流域生态保护和高质量发展的先行区”的战略部署。由此可见，做好黄河宁夏段生态环境保护和污染治理，对宁夏的生态立区、脱贫富民战略实施和高质量发展具有重大意义，成为造福黄河流域人民子孙后代的千秋福祉。</w:t>
      </w:r>
    </w:p>
    <w:p w:rsidR="00083C80" w:rsidRPr="00C252F4" w:rsidRDefault="00083C80" w:rsidP="00083C80">
      <w:pPr>
        <w:spacing w:line="360" w:lineRule="auto"/>
        <w:ind w:firstLineChars="200" w:firstLine="480"/>
        <w:rPr>
          <w:rFonts w:ascii="宋体" w:hAnsi="宋体"/>
          <w:kern w:val="0"/>
          <w:sz w:val="24"/>
        </w:rPr>
      </w:pPr>
      <w:r w:rsidRPr="00C252F4">
        <w:rPr>
          <w:rFonts w:ascii="宋体" w:hAnsi="宋体"/>
          <w:kern w:val="0"/>
          <w:sz w:val="24"/>
        </w:rPr>
        <w:t>黄河是中华民族的“母亲河”，宁夏回族自治区的工农业生产及生活用水大都直接或间接的来自于黄河，对黄河宁夏地区的经济社会发展和生态环境至关重要。黄河宁夏河段自宁夏回族自治区</w:t>
      </w:r>
      <w:proofErr w:type="gramStart"/>
      <w:r w:rsidRPr="00C252F4">
        <w:rPr>
          <w:rFonts w:ascii="宋体" w:hAnsi="宋体"/>
          <w:kern w:val="0"/>
          <w:sz w:val="24"/>
        </w:rPr>
        <w:t>中卫市</w:t>
      </w:r>
      <w:proofErr w:type="gramEnd"/>
      <w:r w:rsidRPr="00C252F4">
        <w:rPr>
          <w:rFonts w:ascii="宋体" w:hAnsi="宋体"/>
          <w:kern w:val="0"/>
          <w:sz w:val="24"/>
        </w:rPr>
        <w:t>南长滩翠柳沟入境，至石嘴山市头道坎麻黄沟出境，穿越中卫、吴忠、银川、石嘴山 4 个地级市 12 个市县（区）全长 397km，约占黄河总长的 7%，流域面积 4.39 万 km2，河段有沙坡头和青铜峡两个大型水利枢纽。近年来，随着经济的发展和城镇化进程加快，黄河宁夏河段内水环境、水生态受到不同程度的污染。请查阅相关资料及附件 1 中黄河某河段的部分数据，回答以下问题：</w:t>
      </w:r>
    </w:p>
    <w:p w:rsidR="00083C80" w:rsidRPr="00C252F4" w:rsidRDefault="00083C80" w:rsidP="00083C80">
      <w:pPr>
        <w:spacing w:line="360" w:lineRule="auto"/>
        <w:ind w:firstLineChars="200" w:firstLine="482"/>
        <w:rPr>
          <w:rFonts w:ascii="宋体" w:hAnsi="宋体"/>
          <w:kern w:val="0"/>
          <w:sz w:val="24"/>
        </w:rPr>
      </w:pPr>
      <w:r w:rsidRPr="00040D00">
        <w:rPr>
          <w:rFonts w:ascii="宋体" w:hAnsi="宋体" w:hint="eastAsia"/>
          <w:b/>
          <w:kern w:val="0"/>
          <w:sz w:val="24"/>
        </w:rPr>
        <w:t>问题</w:t>
      </w:r>
      <w:r>
        <w:rPr>
          <w:rFonts w:ascii="宋体" w:hAnsi="宋体"/>
          <w:b/>
          <w:kern w:val="0"/>
          <w:sz w:val="24"/>
        </w:rPr>
        <w:t>1</w:t>
      </w:r>
      <w:r w:rsidRPr="00040D00">
        <w:rPr>
          <w:rFonts w:ascii="宋体" w:hAnsi="宋体" w:hint="eastAsia"/>
          <w:b/>
          <w:kern w:val="0"/>
          <w:sz w:val="24"/>
        </w:rPr>
        <w:t>：</w:t>
      </w:r>
      <w:r w:rsidRPr="00C252F4">
        <w:rPr>
          <w:rFonts w:ascii="宋体" w:hAnsi="宋体"/>
          <w:kern w:val="0"/>
          <w:sz w:val="24"/>
        </w:rPr>
        <w:t>分析附件 1 中所指河段的水环境污染现况或据相关资料记载数据，分析黄河宁夏段某河段上的水环境污染现况。</w:t>
      </w:r>
    </w:p>
    <w:p w:rsidR="00083C80" w:rsidRPr="00C252F4" w:rsidRDefault="00083C80" w:rsidP="00083C80">
      <w:pPr>
        <w:spacing w:line="360" w:lineRule="auto"/>
        <w:ind w:firstLineChars="200" w:firstLine="482"/>
        <w:rPr>
          <w:rFonts w:ascii="宋体" w:hAnsi="宋体"/>
          <w:kern w:val="0"/>
          <w:sz w:val="24"/>
        </w:rPr>
      </w:pPr>
      <w:r w:rsidRPr="00040D00">
        <w:rPr>
          <w:rFonts w:ascii="宋体" w:hAnsi="宋体" w:hint="eastAsia"/>
          <w:b/>
          <w:kern w:val="0"/>
          <w:sz w:val="24"/>
        </w:rPr>
        <w:t>问题</w:t>
      </w:r>
      <w:r>
        <w:rPr>
          <w:rFonts w:ascii="宋体" w:hAnsi="宋体"/>
          <w:b/>
          <w:kern w:val="0"/>
          <w:sz w:val="24"/>
        </w:rPr>
        <w:t>2</w:t>
      </w:r>
      <w:r w:rsidRPr="00040D00">
        <w:rPr>
          <w:rFonts w:ascii="宋体" w:hAnsi="宋体" w:hint="eastAsia"/>
          <w:b/>
          <w:kern w:val="0"/>
          <w:sz w:val="24"/>
        </w:rPr>
        <w:t>：</w:t>
      </w:r>
      <w:r w:rsidRPr="00C252F4">
        <w:rPr>
          <w:rFonts w:ascii="宋体" w:hAnsi="宋体"/>
          <w:kern w:val="0"/>
          <w:sz w:val="24"/>
        </w:rPr>
        <w:t xml:space="preserve"> 建立适当的数学模型，研究黄河某段水环境污染规律。</w:t>
      </w:r>
    </w:p>
    <w:p w:rsidR="00083C80" w:rsidRDefault="00083C80" w:rsidP="00083C80">
      <w:pPr>
        <w:spacing w:line="360" w:lineRule="auto"/>
        <w:ind w:firstLineChars="200" w:firstLine="482"/>
        <w:rPr>
          <w:rFonts w:ascii="宋体" w:hAnsi="宋体"/>
          <w:kern w:val="0"/>
          <w:sz w:val="24"/>
        </w:rPr>
      </w:pPr>
      <w:r w:rsidRPr="00040D00">
        <w:rPr>
          <w:rFonts w:ascii="宋体" w:hAnsi="宋体" w:hint="eastAsia"/>
          <w:b/>
          <w:kern w:val="0"/>
          <w:sz w:val="24"/>
        </w:rPr>
        <w:t>问题</w:t>
      </w:r>
      <w:r>
        <w:rPr>
          <w:rFonts w:ascii="宋体" w:hAnsi="宋体"/>
          <w:b/>
          <w:kern w:val="0"/>
          <w:sz w:val="24"/>
        </w:rPr>
        <w:t>3</w:t>
      </w:r>
      <w:r w:rsidRPr="00040D00">
        <w:rPr>
          <w:rFonts w:ascii="宋体" w:hAnsi="宋体" w:hint="eastAsia"/>
          <w:b/>
          <w:kern w:val="0"/>
          <w:sz w:val="24"/>
        </w:rPr>
        <w:t>：</w:t>
      </w:r>
      <w:r w:rsidRPr="00C252F4">
        <w:rPr>
          <w:rFonts w:ascii="宋体" w:hAnsi="宋体"/>
          <w:kern w:val="0"/>
          <w:sz w:val="24"/>
        </w:rPr>
        <w:t>提出合理的评价指标，建立评价黄河水环境、水生态的评价模型，为保护黄河生态健康可持续发展提供参考。</w:t>
      </w: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083C80" w:rsidRDefault="00083C80" w:rsidP="00083C80">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0288" behindDoc="0" locked="0" layoutInCell="1" allowOverlap="1" wp14:anchorId="767CECCD" wp14:editId="31956FE1">
                <wp:simplePos x="0" y="0"/>
                <wp:positionH relativeFrom="column">
                  <wp:posOffset>228600</wp:posOffset>
                </wp:positionH>
                <wp:positionV relativeFrom="paragraph">
                  <wp:posOffset>93980</wp:posOffset>
                </wp:positionV>
                <wp:extent cx="5257800" cy="7620"/>
                <wp:effectExtent l="33655" t="28575" r="33020" b="3048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DE77C" id="直接连接符 1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yFf49D4CAABKBAAADgAA&#10;AAAAAAAAAAAAAAAuAgAAZHJzL2Uyb0RvYy54bWxQSwECLQAUAAYACAAAACEABLAEzt4AAAAIAQAA&#10;DwAAAAAAAAAAAAAAAACYBAAAZHJzL2Rvd25yZXYueG1sUEsFBgAAAAAEAAQA8wAAAKMFAAAAAA==&#10;" strokeweight="4.5pt">
                <v:stroke linestyle="thinThick"/>
              </v:line>
            </w:pict>
          </mc:Fallback>
        </mc:AlternateContent>
      </w:r>
    </w:p>
    <w:p w:rsidR="00083C80" w:rsidRDefault="00083C80" w:rsidP="00083C80">
      <w:pPr>
        <w:spacing w:before="585" w:line="309" w:lineRule="exact"/>
        <w:ind w:left="1980"/>
        <w:rPr>
          <w:rFonts w:hAnsi="Calibri"/>
          <w:color w:val="000000"/>
          <w:sz w:val="28"/>
          <w:szCs w:val="22"/>
        </w:rPr>
      </w:pPr>
      <w:r>
        <w:rPr>
          <w:rFonts w:hint="eastAsia"/>
          <w:b/>
          <w:sz w:val="32"/>
          <w:szCs w:val="32"/>
        </w:rPr>
        <w:t>第</w:t>
      </w:r>
      <w:r>
        <w:rPr>
          <w:b/>
          <w:sz w:val="32"/>
          <w:szCs w:val="32"/>
        </w:rPr>
        <w:t>13</w:t>
      </w:r>
      <w:r>
        <w:rPr>
          <w:rFonts w:hint="eastAsia"/>
          <w:b/>
          <w:sz w:val="32"/>
          <w:szCs w:val="32"/>
        </w:rPr>
        <w:t>题</w:t>
      </w:r>
      <w:r>
        <w:rPr>
          <w:rFonts w:hint="eastAsia"/>
          <w:b/>
          <w:bCs/>
          <w:color w:val="000000"/>
          <w:sz w:val="36"/>
          <w:szCs w:val="20"/>
        </w:rPr>
        <w:t>：</w:t>
      </w:r>
      <w:r w:rsidRPr="00C2638D">
        <w:rPr>
          <w:b/>
          <w:sz w:val="32"/>
          <w:szCs w:val="32"/>
        </w:rPr>
        <w:t>钢铁生产计划的合理安排问题</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随着我国经济发展进入新常态，钢铁行业发展环境发生了深刻变化。2015年，我国钢铁消费与产量双双进入峰值</w:t>
      </w:r>
      <w:proofErr w:type="gramStart"/>
      <w:r w:rsidRPr="00C2638D">
        <w:rPr>
          <w:rFonts w:ascii="宋体" w:hAnsi="宋体"/>
          <w:kern w:val="0"/>
          <w:sz w:val="24"/>
        </w:rPr>
        <w:t>弧</w:t>
      </w:r>
      <w:proofErr w:type="gramEnd"/>
      <w:r w:rsidRPr="00C2638D">
        <w:rPr>
          <w:rFonts w:ascii="宋体" w:hAnsi="宋体"/>
          <w:kern w:val="0"/>
          <w:sz w:val="24"/>
        </w:rPr>
        <w:t>顶区并呈下降态势，钢铁主业从微利经营进入整体亏损，行业发展进入“严冬”期。钢铁行业要落实中央经济工作会议精神，着力推进供给侧结构性改革，扎实完成《国务院关于钢铁行业化解过剩产能实现脱困发展的意见》的各项部署和要求。在化解产能过剩的同时，也将注重产业结构优化和升级，做好规范企业动态管理、智能制造试点示范、钢结构建筑推广应用等重点工作，引领钢铁工业提高综合竞争力。</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炼钢、连铸和热轧作为钢铁生产的关键工序，工序之间不仅仅是物流与信息流的交换，还存在能量平衡和时间平衡。面向订单组织生产管理思想以及炼钢、连铸和热轧</w:t>
      </w:r>
      <w:proofErr w:type="gramStart"/>
      <w:r w:rsidRPr="00C2638D">
        <w:rPr>
          <w:rFonts w:ascii="宋体" w:hAnsi="宋体"/>
          <w:kern w:val="0"/>
          <w:sz w:val="24"/>
        </w:rPr>
        <w:t>一体化排程使</w:t>
      </w:r>
      <w:proofErr w:type="gramEnd"/>
      <w:r w:rsidRPr="00C2638D">
        <w:rPr>
          <w:rFonts w:ascii="宋体" w:hAnsi="宋体"/>
          <w:kern w:val="0"/>
          <w:sz w:val="24"/>
        </w:rPr>
        <w:t>各工序的物流控制以及计划之间具有很好的继承性，可以最大限度地减少物料在工序间的停留时间，缩短制造周期和交货周期，还可以</w:t>
      </w:r>
      <w:proofErr w:type="gramStart"/>
      <w:r w:rsidRPr="00C2638D">
        <w:rPr>
          <w:rFonts w:ascii="宋体" w:hAnsi="宋体"/>
          <w:kern w:val="0"/>
          <w:sz w:val="24"/>
        </w:rPr>
        <w:t>减少温降</w:t>
      </w:r>
      <w:proofErr w:type="gramEnd"/>
      <w:r w:rsidRPr="00C2638D">
        <w:rPr>
          <w:rFonts w:ascii="宋体" w:hAnsi="宋体"/>
          <w:kern w:val="0"/>
          <w:sz w:val="24"/>
        </w:rPr>
        <w:t>和能量损失、节约能源、降低生产成本。</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依据某钢厂某段时间的炼钢、连铸和热轧一体化生产数据（附件 1 和附件 2），完成以下任务：</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sidRPr="0030432E">
        <w:rPr>
          <w:rFonts w:hint="eastAsia"/>
          <w:b/>
          <w:sz w:val="24"/>
        </w:rPr>
        <w:t>1</w:t>
      </w:r>
      <w:r w:rsidRPr="0030432E">
        <w:rPr>
          <w:rFonts w:hint="eastAsia"/>
          <w:b/>
          <w:sz w:val="24"/>
        </w:rPr>
        <w:t>：</w:t>
      </w:r>
      <w:r w:rsidRPr="00C2638D">
        <w:rPr>
          <w:rFonts w:ascii="宋体" w:hAnsi="宋体"/>
          <w:kern w:val="0"/>
          <w:sz w:val="24"/>
        </w:rPr>
        <w:t>说明炼钢、连铸、热轧一体化生产组织、工艺过程特点。</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2</w:t>
      </w:r>
      <w:r w:rsidRPr="0030432E">
        <w:rPr>
          <w:rFonts w:hint="eastAsia"/>
          <w:b/>
          <w:sz w:val="24"/>
        </w:rPr>
        <w:t>：</w:t>
      </w:r>
      <w:r w:rsidRPr="00C2638D">
        <w:rPr>
          <w:rFonts w:ascii="宋体" w:hAnsi="宋体"/>
          <w:kern w:val="0"/>
          <w:sz w:val="24"/>
        </w:rPr>
        <w:t>建立炼钢、连铸、热轧一体化生产计划数学模型。</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3</w:t>
      </w:r>
      <w:r w:rsidRPr="0030432E">
        <w:rPr>
          <w:rFonts w:hint="eastAsia"/>
          <w:b/>
          <w:sz w:val="24"/>
        </w:rPr>
        <w:t>：</w:t>
      </w:r>
      <w:r w:rsidRPr="00C2638D">
        <w:rPr>
          <w:rFonts w:ascii="宋体" w:hAnsi="宋体"/>
          <w:kern w:val="0"/>
          <w:sz w:val="24"/>
        </w:rPr>
        <w:t>利用附件 1 中某钢厂的实际生产数据，仿真验证前面所建模型。</w:t>
      </w: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Pr="00C2638D" w:rsidRDefault="00083C80" w:rsidP="00083C80">
      <w:pPr>
        <w:spacing w:line="360" w:lineRule="auto"/>
        <w:rPr>
          <w:rFonts w:ascii="宋体" w:hAnsi="宋体"/>
          <w:kern w:val="0"/>
          <w:sz w:val="24"/>
        </w:rPr>
      </w:pPr>
    </w:p>
    <w:p w:rsidR="00083C80" w:rsidRDefault="00083C80" w:rsidP="00083C80">
      <w:pPr>
        <w:spacing w:line="360" w:lineRule="auto"/>
        <w:rPr>
          <w:b/>
          <w:sz w:val="32"/>
          <w:szCs w:val="32"/>
        </w:rPr>
      </w:pPr>
    </w:p>
    <w:p w:rsidR="00083C80" w:rsidRDefault="00083C80" w:rsidP="00083C80">
      <w:pPr>
        <w:spacing w:line="360" w:lineRule="auto"/>
        <w:rPr>
          <w:b/>
          <w:sz w:val="32"/>
          <w:szCs w:val="32"/>
        </w:rPr>
      </w:pPr>
    </w:p>
    <w:p w:rsidR="00083C80" w:rsidRDefault="00083C80" w:rsidP="00083C80">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083C80" w:rsidRDefault="00083C80" w:rsidP="00083C80">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1312" behindDoc="0" locked="0" layoutInCell="1" allowOverlap="1" wp14:anchorId="4CF1EADF" wp14:editId="77CC4892">
                <wp:simplePos x="0" y="0"/>
                <wp:positionH relativeFrom="column">
                  <wp:posOffset>228600</wp:posOffset>
                </wp:positionH>
                <wp:positionV relativeFrom="paragraph">
                  <wp:posOffset>93980</wp:posOffset>
                </wp:positionV>
                <wp:extent cx="5257800" cy="7620"/>
                <wp:effectExtent l="33655" t="28575" r="33020" b="3048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590D7" id="直接连接符 2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dFxbyD4CAABKBAAADgAA&#10;AAAAAAAAAAAAAAAuAgAAZHJzL2Uyb0RvYy54bWxQSwECLQAUAAYACAAAACEABLAEzt4AAAAIAQAA&#10;DwAAAAAAAAAAAAAAAACYBAAAZHJzL2Rvd25yZXYueG1sUEsFBgAAAAAEAAQA8wAAAKMFAAAAAA==&#10;" strokeweight="4.5pt">
                <v:stroke linestyle="thinThick"/>
              </v:line>
            </w:pict>
          </mc:Fallback>
        </mc:AlternateContent>
      </w:r>
    </w:p>
    <w:p w:rsidR="00083C80" w:rsidRDefault="00083C80" w:rsidP="00083C80">
      <w:pPr>
        <w:spacing w:line="360" w:lineRule="auto"/>
        <w:jc w:val="center"/>
        <w:rPr>
          <w:rFonts w:hAnsi="Calibri"/>
          <w:color w:val="000000"/>
          <w:sz w:val="28"/>
          <w:szCs w:val="22"/>
        </w:rPr>
      </w:pPr>
      <w:r>
        <w:rPr>
          <w:rFonts w:hint="eastAsia"/>
          <w:b/>
          <w:sz w:val="32"/>
          <w:szCs w:val="32"/>
        </w:rPr>
        <w:t>第</w:t>
      </w:r>
      <w:r>
        <w:rPr>
          <w:b/>
          <w:sz w:val="32"/>
          <w:szCs w:val="32"/>
        </w:rPr>
        <w:t>14</w:t>
      </w:r>
      <w:r>
        <w:rPr>
          <w:rFonts w:hint="eastAsia"/>
          <w:b/>
          <w:sz w:val="32"/>
          <w:szCs w:val="32"/>
        </w:rPr>
        <w:t>题</w:t>
      </w:r>
      <w:r>
        <w:rPr>
          <w:rFonts w:hint="eastAsia"/>
          <w:b/>
          <w:bCs/>
          <w:color w:val="000000"/>
          <w:sz w:val="36"/>
          <w:szCs w:val="20"/>
        </w:rPr>
        <w:t>：</w:t>
      </w:r>
      <w:r w:rsidRPr="00C2638D">
        <w:rPr>
          <w:b/>
          <w:sz w:val="32"/>
          <w:szCs w:val="32"/>
        </w:rPr>
        <w:t>红酒品质分类</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随着人们生活水平不断的提高，红酒越来越受到人们的喜爱，红酒的产量也越来越大。然而红酒品质鉴定的手段大多仅靠品酒师的人工品尝打分来判定红酒质量的好坏，显然这种鉴定方式难以满足当今市场的需求。如何利用数学工具设计相应的算法来对红酒质量进行预测研究，使得红酒品质鉴定的速度得到大幅提升并且有着较高的准确率，是非常有必要的。</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对于红酒品质的分类，可以基于红酒的理化指标（例如:酒精的浓度、pH 值、糖的含量、非挥发性酸含量、 挥发性酸含量、柠檬酸含量等）作为特征，建立分类模型，然后对红酒品质进行分类和预测。</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本题要求如下：</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sidRPr="0030432E">
        <w:rPr>
          <w:rFonts w:hint="eastAsia"/>
          <w:b/>
          <w:sz w:val="24"/>
        </w:rPr>
        <w:t>1</w:t>
      </w:r>
      <w:r w:rsidRPr="0030432E">
        <w:rPr>
          <w:rFonts w:hint="eastAsia"/>
          <w:b/>
          <w:sz w:val="24"/>
        </w:rPr>
        <w:t>：</w:t>
      </w:r>
      <w:r w:rsidRPr="00C2638D">
        <w:rPr>
          <w:rFonts w:ascii="宋体" w:hAnsi="宋体"/>
          <w:kern w:val="0"/>
          <w:sz w:val="24"/>
        </w:rPr>
        <w:t>对附件 1 中红酒品质数据集进行预处理，如</w:t>
      </w:r>
      <w:proofErr w:type="gramStart"/>
      <w:r w:rsidRPr="00C2638D">
        <w:rPr>
          <w:rFonts w:ascii="宋体" w:hAnsi="宋体"/>
          <w:kern w:val="0"/>
          <w:sz w:val="24"/>
        </w:rPr>
        <w:t>缺失值处理</w:t>
      </w:r>
      <w:proofErr w:type="gramEnd"/>
      <w:r w:rsidRPr="00C2638D">
        <w:rPr>
          <w:rFonts w:ascii="宋体" w:hAnsi="宋体"/>
          <w:kern w:val="0"/>
          <w:sz w:val="24"/>
        </w:rPr>
        <w:t>及归一化处理等。针对</w:t>
      </w:r>
      <w:r w:rsidRPr="000B6DBE">
        <w:rPr>
          <w:rFonts w:ascii="宋体" w:hAnsi="宋体"/>
          <w:kern w:val="0"/>
          <w:sz w:val="24"/>
          <w:highlight w:val="yellow"/>
        </w:rPr>
        <w:t>预处理后的数据建立合理的数学模型进行品质分类，</w:t>
      </w:r>
      <w:r w:rsidRPr="00C2638D">
        <w:rPr>
          <w:rFonts w:ascii="宋体" w:hAnsi="宋体"/>
          <w:kern w:val="0"/>
          <w:sz w:val="24"/>
        </w:rPr>
        <w:t>并给出模型的精确率。</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2</w:t>
      </w:r>
      <w:r w:rsidRPr="0030432E">
        <w:rPr>
          <w:rFonts w:hint="eastAsia"/>
          <w:b/>
          <w:sz w:val="24"/>
        </w:rPr>
        <w:t>：</w:t>
      </w:r>
      <w:r w:rsidRPr="00C2638D">
        <w:rPr>
          <w:rFonts w:ascii="宋体" w:hAnsi="宋体"/>
          <w:kern w:val="0"/>
          <w:sz w:val="24"/>
        </w:rPr>
        <w:t>利用已建立的模型对附件中的</w:t>
      </w:r>
      <w:proofErr w:type="gramStart"/>
      <w:r w:rsidRPr="000B6DBE">
        <w:rPr>
          <w:rFonts w:ascii="宋体" w:hAnsi="宋体"/>
          <w:kern w:val="0"/>
          <w:sz w:val="24"/>
          <w:highlight w:val="yellow"/>
        </w:rPr>
        <w:t>待预测</w:t>
      </w:r>
      <w:proofErr w:type="gramEnd"/>
      <w:r w:rsidRPr="000B6DBE">
        <w:rPr>
          <w:rFonts w:ascii="宋体" w:hAnsi="宋体"/>
          <w:kern w:val="0"/>
          <w:sz w:val="24"/>
          <w:highlight w:val="yellow"/>
        </w:rPr>
        <w:t>数据集进行</w:t>
      </w:r>
      <w:bookmarkStart w:id="0" w:name="_GoBack"/>
      <w:bookmarkEnd w:id="0"/>
      <w:r w:rsidRPr="00C2638D">
        <w:rPr>
          <w:rFonts w:ascii="宋体" w:hAnsi="宋体"/>
          <w:kern w:val="0"/>
          <w:sz w:val="24"/>
        </w:rPr>
        <w:t>品质预测并给出准确率分析。同时，通过已建立的模型，运用合理的数学模型找出影响红酒品质属性的前 3 名，并进行解释。</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3</w:t>
      </w:r>
      <w:r w:rsidRPr="0030432E">
        <w:rPr>
          <w:rFonts w:hint="eastAsia"/>
          <w:b/>
          <w:sz w:val="24"/>
        </w:rPr>
        <w:t>：</w:t>
      </w:r>
      <w:r w:rsidRPr="00C2638D">
        <w:rPr>
          <w:rFonts w:ascii="宋体" w:hAnsi="宋体"/>
          <w:kern w:val="0"/>
          <w:sz w:val="24"/>
        </w:rPr>
        <w:t>上述模型是否能够继续优化以提高分类的精确率？如果可以，请给出合理的优化方法。</w:t>
      </w: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4B43BF" w:rsidRPr="00083C80" w:rsidRDefault="00EC6B5C"/>
    <w:sectPr w:rsidR="004B43BF" w:rsidRPr="00083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C80"/>
    <w:rsid w:val="00083C80"/>
    <w:rsid w:val="000B6DBE"/>
    <w:rsid w:val="00113789"/>
    <w:rsid w:val="00741786"/>
    <w:rsid w:val="00E41719"/>
    <w:rsid w:val="00EC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92316-8285-4BA1-96C9-59746C18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3C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083C80"/>
    <w:pPr>
      <w:adjustRightInd w:val="0"/>
      <w:spacing w:line="312" w:lineRule="atLeast"/>
    </w:pPr>
    <w:rPr>
      <w:rFonts w:ascii="宋体" w:hAnsi="Courier New"/>
      <w:kern w:val="0"/>
      <w:szCs w:val="20"/>
    </w:rPr>
  </w:style>
  <w:style w:type="character" w:customStyle="1" w:styleId="a4">
    <w:name w:val="纯文本 字符"/>
    <w:basedOn w:val="a0"/>
    <w:link w:val="a3"/>
    <w:uiPriority w:val="99"/>
    <w:rsid w:val="00083C80"/>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Khan</cp:lastModifiedBy>
  <cp:revision>3</cp:revision>
  <dcterms:created xsi:type="dcterms:W3CDTF">2020-08-21T03:05:00Z</dcterms:created>
  <dcterms:modified xsi:type="dcterms:W3CDTF">2020-08-22T15:53:00Z</dcterms:modified>
</cp:coreProperties>
</file>