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1: Implement Euclidean Algorithm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gcd(a, b):</w:t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while b != 0: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a, b = b, a % b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a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num1 = int(input("Enter first number: "))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num2 = int(input("Enter second number: "))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Calculate GCD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gcd_result = gcd(num1, num2)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Display output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print(f"\nThe GCD of {num1} and {num2} is: {gcd_result}")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ValueError: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print("Please enter valid integers.")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first number: 48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Enter second number: 18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The GCD of 48 and 18 is: 6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=== Code Execution Successful ===</w:t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-540" w:firstLine="0"/>
      <w:jc w:val="right"/>
      <w:rPr>
        <w:b w:val="1"/>
        <w:bCs w:val="1"/>
        <w:color w:val="1155cc"/>
        <w:sz w:val="24"/>
        <w:szCs w:val="24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</w:t>
      <w:tab/>
      <w:t xml:space="preserve">KHAN KHWAJA HABIBURRAHMAN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ind w:left="-540" w:firstLine="0"/>
      <w:jc w:val="right"/>
      <w:rPr/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24">
    <w:pPr>
      <w:ind w:left="-540" w:firstLine="0"/>
      <w:jc w:val="right"/>
      <w:rPr/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O9NSrxdpxNUezc4Z7wySiCExw==">CgMxLjA4AHIhMUxGRFc2emNXSTdoanJpODNNdDV4cXhQZV9GU2RhbTJR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