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Phishing-to-Malware</w:t>
      </w:r>
      <w:r>
        <w:t xml:space="preserve"> </w:t>
      </w:r>
      <w:r>
        <w:t xml:space="preserve">Response</w:t>
      </w:r>
      <w:r>
        <w:t xml:space="preserve"> </w:t>
      </w:r>
      <w:r>
        <w:t xml:space="preserve">Walkthrough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sec-02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 progress on the site; not started in files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Pri: P1, P2, P3. Size: S, M, L. All tasks are [Recommended];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Decide: build now, later, or remove from the site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Your decision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Site matches reality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 and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place to work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Scenario and telemetry capture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Four-question write-up and case study page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Published lab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p>
      <w:pPr>
        <w:pStyle w:val="FirstParagraph"/>
      </w:pPr>
      <w:r>
        <w:t xml:space="preserve">Listed publicly as in progress. Recommended: keep it labelled that way until the write-up exists.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SEC-02  ·  PHISHING-TO-MALWARE RESPONSE WALKTHROUGH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Phishing-to-Malware Response Walkthrough</dc:title>
  <dc:creator/>
  <cp:keywords/>
  <dcterms:created xsi:type="dcterms:W3CDTF">2026-10-26T04:27:05Z</dcterms:created>
  <dcterms:modified xsi:type="dcterms:W3CDTF">2026-10-26T04:27:05Z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sec-02</vt:lpwstr>
  </property>
</Properties>
</file>